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{{#workplaceManagers}}</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120"/>
        <w:jc w:val="left"/>
        <w:rPr>
          <w:rFonts w:ascii="Arial" w:hAnsi="Arial" w:cs="Arial"/>
          <w:b/>
          <w:sz w:val="20"/>
          <w:szCs w:val="20"/>
        </w:rPr>
      </w:pPr>
      <w:r>
        <w:rPr>
          <w:rFonts w:eastAsia="Arial" w:cs="Arial" w:ascii="Arial" w:hAnsi="Arial"/>
          <w:b/>
          <w:bCs/>
          <w:color w:val="auto"/>
          <w:spacing w:val="0"/>
          <w:w w:val="100"/>
          <w:sz w:val="20"/>
          <w:szCs w:val="20"/>
          <w:lang w:val="ro-RO"/>
        </w:rPr>
        <w:t>{{/workplaceManagers}}</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executa astfel:</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 Durata instruirii introductiv-generale nu va fi mai mică de 4 ore;</w:t>
      </w:r>
    </w:p>
    <w:p>
      <w:pPr>
        <w:pStyle w:val="Normal"/>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Conf. H.G. 767/ 2016 pct.4 - Durata instruirii la locul de muncă nu va fi mai mică de 4 ore;</w:t>
      </w:r>
    </w:p>
    <w:p>
      <w:pPr>
        <w:pStyle w:val="Normal"/>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767/ 2016, pct. 6)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HG 1425/2006, Art. 96, alin (2)</w:t>
      </w:r>
      <w:r>
        <w:rPr>
          <w:rFonts w:eastAsia="Arial" w:cs="Arial" w:ascii="Arial" w:hAnsi="Arial"/>
          <w:color w:val="auto"/>
          <w:spacing w:val="0"/>
          <w:w w:val="100"/>
          <w:sz w:val="20"/>
          <w:szCs w:val="20"/>
          <w:lang w:val="ro-RO"/>
        </w:rPr>
        <w:t xml:space="preserve"> stabilesc următoarele intervale de timp pentru efectuarea instructajelor periodice: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tehnic-administrativ </w:t>
      </w:r>
      <w:r>
        <w:rPr>
          <w:rFonts w:eastAsia="Arial" w:cs="Arial" w:ascii="Arial" w:hAnsi="Arial"/>
          <w:color w:val="auto"/>
          <w:spacing w:val="0"/>
          <w:w w:val="100"/>
          <w:sz w:val="20"/>
          <w:szCs w:val="20"/>
          <w:lang w:val="ro-RO"/>
        </w:rPr>
        <w:t xml:space="preserve">și șefii de locuri de muncă, va fi instruit </w:t>
      </w:r>
      <w:r>
        <w:rPr>
          <w:rFonts w:eastAsia="Arial" w:cs="Arial" w:ascii="Arial" w:hAnsi="Arial"/>
          <w:b/>
          <w:bCs/>
          <w:color w:val="auto"/>
          <w:spacing w:val="0"/>
          <w:w w:val="100"/>
          <w:sz w:val="20"/>
          <w:szCs w:val="20"/>
          <w:lang w:val="ro-RO"/>
        </w:rPr>
        <w:t>{{training.administrativeFrequency}}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{{training.workerFrequency}}</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respectiv în lunile</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numPr>
          <w:ilvl w:val="2"/>
          <w:numId w:val="2"/>
        </w:numPr>
        <w:spacing w:before="0" w:after="40"/>
        <w:ind w:right="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Durata instruirii suplimentare va fi de </w:t>
      </w:r>
      <w:r>
        <w:rPr>
          <w:rFonts w:eastAsia="Arial" w:cs="Arial" w:ascii="Arial" w:hAnsi="Arial"/>
          <w:b/>
          <w:color w:val="auto"/>
          <w:spacing w:val="0"/>
          <w:w w:val="100"/>
          <w:sz w:val="20"/>
          <w:szCs w:val="20"/>
          <w:lang w:val="ro-RO"/>
        </w:rPr>
        <w:t>4 ore</w:t>
      </w:r>
      <w:r>
        <w:rPr>
          <w:rFonts w:eastAsia="Arial" w:cs="Arial" w:ascii="Arial" w:hAnsi="Arial"/>
          <w:color w:val="auto"/>
          <w:spacing w:val="0"/>
          <w:w w:val="100"/>
          <w:sz w:val="20"/>
          <w:szCs w:val="20"/>
          <w:lang w:val="ro-RO"/>
        </w:rPr>
        <w:t>;</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(Preluare din H.G. 1425/ 2006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(șefi de loc de muncă menționați mai sus), se schimbă, noii angajați vor lua la cunoștința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procesului 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2026-09-19T00:32:59Z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