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Legii nr 319/ 2006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și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 Normele de aplicare a acesteia aprobate prin H.G.1425/ 2006 pe de o parte și, pe de altă parte, cerințele metodei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 evaluare a riscurilor I.N.C.D.P.M. București, metodă avizată de Ministerul Muncii și Solidarității Sociale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, {{client.representativeName}}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spacing w:before="0" w:after="6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Art.1.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conformitate cu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H.G nr.1425/ 2006,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următoarele persoane să facă parte și să desfășoare în cadrul orelor de program, activitățile de identificare și evaluarea a riscurilor de accidentare și îmbolnăvire profesională pentru locurile de muncă încadrate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{{specialist.name}} în calitate de {{specialist.professionalTitle}} din cadrul {{provider.legalName}}, va coordona activitatea echipei de evaluare a riscurilor de accidentare și îmbolnăvire profesională.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Art. 2.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305</Words>
  <Characters>2251</Characters>
  <CharactersWithSpaces>2517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2026-09-19T00:33:01Z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