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tbl>
      <w:tblPr>
        <w:tblW w:w="5000" w:type="pct"/>
        <w:jc w:val="left"/>
        <w:tblInd w:w="55" w:type="dxa"/>
        <w:tblLayout w:type="fixed"/>
        <w:tblCellMar>
          <w:top w:w="55" w:type="dxa"/>
          <w:left w:w="55" w:type="dxa"/>
          <w:bottom w:w="55" w:type="dxa"/>
          <w:right w:w="55" w:type="dxa"/>
        </w:tblCellMar>
      </w:tblPr>
      <w:tblGrid>
        <w:gridCol w:w="654"/>
        <w:gridCol w:w="1217"/>
        <w:gridCol w:w="7484"/>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21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484"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CAPITOL</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Cuprins</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generale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Acordarea E.I.P. și acordarea materialelor igienico-sanitare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Semnalizarea</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Prezentarea factorilor de risc de accidentare și îmbolnăvire profesională în sistemul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maternității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Informarea, consultarea, instruirea și participarea lucrătorilor privind activitățile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Consecințele posibile ale necunoașterii și nerespectării legislației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acordare a primului ajutor la nivelul unității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prevenire și stingere a incendiilor și evacuarea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legate de circulația pe drumurile publice a vehiculelor, pietonilor și a celorlalte categorii de participanți la trafic.</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Riscurile de accidentare și îmbolnăvire profesională specifice unității</w:t>
            </w:r>
          </w:p>
        </w:tc>
      </w:tr>
    </w:tbl>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au ca scop </w:t>
      </w:r>
      <w:r>
        <w:rPr>
          <w:rStyle w:val="tpa1"/>
          <w:rFonts w:eastAsia="Arial" w:cs="Arial" w:ascii="Arial" w:hAnsi="Arial"/>
          <w:i/>
          <w:color w:val="auto"/>
          <w:spacing w:val="0"/>
          <w:w w:val="100"/>
          <w:sz w:val="20"/>
          <w:szCs w:val="20"/>
          <w:lang w:val="ro-RO"/>
        </w:rPr>
        <w:t xml:space="preserve">informarea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w:t>
      </w:r>
      <w:r>
        <w:rPr>
          <w:rFonts w:eastAsia="Arial" w:cs="Arial" w:ascii="Arial" w:hAnsi="Arial"/>
          <w:bCs/>
          <w:i/>
          <w:color w:val="auto"/>
          <w:spacing w:val="0"/>
          <w:w w:val="100"/>
          <w:sz w:val="20"/>
          <w:szCs w:val="20"/>
          <w:lang w:val="ro-RO"/>
        </w:rPr>
        <w:t xml:space="preserve"> 319/2016.</w:t>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afară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afară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 fie se semnalizează prezenta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competența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competența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w:t>
      </w:r>
    </w:p>
    <w:p>
      <w:pPr>
        <w:pStyle w:val="Normal"/>
        <w:widowControl/>
        <w:spacing w:before="0" w:after="40"/>
        <w:ind w:left="360"/>
        <w:jc w:val="left"/>
        <w:rPr>
          <w:rFonts w:ascii="Arial" w:hAnsi="Arial" w:cs="Arial"/>
          <w:sz w:val="18"/>
          <w:szCs w:val="18"/>
          <w:lang w:val="it-IT"/>
        </w:rPr>
      </w:pP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sub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să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Frecvența examenului medical periodic este stabilită prin fișele întocmite conform modelului prevăzut în anexa nr. 1din H.G. 355/ 2007 și poate fi modificată numai la propunerea medicului specialist de medicina muncii, cu informarea angajatorului.</w:t>
      </w:r>
    </w:p>
    <w:p>
      <w:pPr>
        <w:pStyle w:val="Normal"/>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Lucrătorul este obligat să se prezinte la examenele medicale de supraveghere a sănătății la locul de muncă, conform planificării efectuate de către medicul de medicina muncii</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La schimbarea locului de muncă în altă unitate, lucrătorului i se vor înmâna, la solicitare, copii ale dosarului său medical și ale fișei de expunere la riscuri profesionale, pentru a fi predate</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tru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afară întreprinderii și/sau unității sau locurilor de muncă din interiorul mijloacelor de transport;</w:t>
      </w:r>
      <w:bookmarkStart w:id="161" w:name="do|caI|ar2|lib"/>
    </w:p>
    <w:p>
      <w:pPr>
        <w:pStyle w:val="Normal"/>
        <w:keepNext w:val="tru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tru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tru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tru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afară ariei clădirilor întreprinderii.</w:t>
      </w:r>
      <w:bookmarkStart w:id="165" w:name="do|caI|ar3"/>
      <w:bookmarkStart w:id="166" w:name="do|caI|ar4"/>
      <w:bookmarkEnd w:id="165"/>
      <w:bookmarkEnd w:id="166"/>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tru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tru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tru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tru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tru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tru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tru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tru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tru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tru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tru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tru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0" w:type="dxa"/>
          <w:left w:w="108" w:type="dxa"/>
          <w:bottom w:w="0"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această prevedere nu se aplică dacă lucrătorii sun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Echipamente de prim ajutor:</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Locuri de muncă în aer liber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Principii ergonomice:</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tru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tru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tru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tru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tru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tru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tru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tru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tru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tru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tru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tru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tru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tru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tru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tru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tru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tru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tru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tru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tru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tru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tru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tru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tru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tru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tru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tru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tru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tru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0" w:type="dxa"/>
          <w:left w:w="108" w:type="dxa"/>
          <w:bottom w:w="0" w:type="dxa"/>
          <w:right w:w="108" w:type="dxa"/>
        </w:tblCellMar>
        <w:tblLook w:noHBand="0" w:noVBand="0" w:firstColumn="0" w:lastRow="0" w:lastColumn="0" w:firstRow="0" w:val="0000"/>
      </w:tblPr>
      <w:tblGrid>
        <w:gridCol w:w="4372"/>
        <w:gridCol w:w="877"/>
        <w:gridCol w:w="3177"/>
        <w:gridCol w:w="929"/>
      </w:tblGrid>
      <w:tr>
        <w:trPr>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Ațele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val="true"/>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tru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tru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tru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tru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tru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tru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tru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tru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tru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tru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tru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tru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tru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tru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tru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tru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tru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tru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tru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tru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tru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tru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tru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tru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tru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tru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tru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tru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0" w:type="dxa"/>
        <w:tblLayout w:type="fixed"/>
        <w:tblCellMar>
          <w:top w:w="15" w:type="dxa"/>
          <w:left w:w="22" w:type="dxa"/>
          <w:bottom w:w="15" w:type="dxa"/>
          <w:right w:w="22"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0" w:type="dxa"/>
          <w:left w:w="108" w:type="dxa"/>
          <w:bottom w:w="0" w:type="dxa"/>
          <w:right w:w="108" w:type="dxa"/>
        </w:tblCellMar>
        <w:tblLook w:noHBand="0" w:noVBand="0" w:firstColumn="0" w:lastRow="0" w:lastColumn="0" w:firstRow="0" w:val="0000"/>
      </w:tblPr>
      <w:tblGrid>
        <w:gridCol w:w="1806"/>
        <w:gridCol w:w="1869"/>
        <w:gridCol w:w="1850"/>
        <w:gridCol w:w="1935"/>
        <w:gridCol w:w="1895"/>
      </w:tblGrid>
      <w:tr>
        <w:trPr>
          <w:tblHeader w:val="true"/>
          <w:trHeight w:val="1649"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STINGEREA CU APA</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INTERZIS VEHICULELOR DE MANIPULAT MARFA</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APA NEPOTABILĂ</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INTRODUCE MANA</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INTERZIS UTILIZAREA DE MÂNUI</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URCAREA PE TRANSPALETA</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ATINGEREA CABLURILOR</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CĂLCAREA</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0" w:type="dxa"/>
          <w:left w:w="108" w:type="dxa"/>
          <w:bottom w:w="0" w:type="dxa"/>
          <w:right w:w="108" w:type="dxa"/>
        </w:tblCellMar>
        <w:tblLook w:noHBand="0" w:noVBand="0" w:firstColumn="0" w:lastRow="0" w:lastColumn="0" w:firstRow="0" w:val="0000"/>
      </w:tblPr>
      <w:tblGrid>
        <w:gridCol w:w="3058"/>
        <w:gridCol w:w="3164"/>
        <w:gridCol w:w="3133"/>
      </w:tblGrid>
      <w:tr>
        <w:trPr>
          <w:tblHeader w:val="true"/>
          <w:trHeight w:val="146" w:hRule="atLeast"/>
        </w:trPr>
        <w:tc>
          <w:tcPr>
            <w:tcW w:w="305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tc>
        <w:tc>
          <w:tcPr>
            <w:tcW w:w="316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tc>
        <w:tc>
          <w:tcPr>
            <w:tcW w:w="313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tc>
      </w:tr>
      <w:tr>
        <w:trPr>
          <w:trHeight w:val="146" w:hRule="atLeast"/>
        </w:trPr>
        <w:tc>
          <w:tcPr>
            <w:tcW w:w="30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PULVERIZAREA CU APA INTERZISĂ</w:t>
            </w:r>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0" w:type="dxa"/>
          <w:left w:w="108" w:type="dxa"/>
          <w:bottom w:w="0" w:type="dxa"/>
          <w:right w:w="108" w:type="dxa"/>
        </w:tblCellMar>
        <w:tblLook w:noHBand="0" w:noVBand="0" w:firstColumn="0" w:lastRow="0" w:lastColumn="0" w:firstRow="0" w:val="0000"/>
      </w:tblPr>
      <w:tblGrid>
        <w:gridCol w:w="1808"/>
        <w:gridCol w:w="1876"/>
        <w:gridCol w:w="1854"/>
        <w:gridCol w:w="1940"/>
        <w:gridCol w:w="1877"/>
      </w:tblGrid>
      <w:tr>
        <w:trPr>
          <w:tblHeader w:val="true"/>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trHeight w:val="147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trHeight w:val="142"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tc>
      </w:tr>
      <w:tr>
        <w:trPr>
          <w:trHeight w:val="142"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ARC ELECTROMAGNETIC</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0" w:type="dxa"/>
          <w:left w:w="108" w:type="dxa"/>
          <w:bottom w:w="0" w:type="dxa"/>
          <w:right w:w="108" w:type="dxa"/>
        </w:tblCellMar>
        <w:tblLook w:noHBand="0" w:noVBand="0" w:firstColumn="0" w:lastRow="0" w:lastColumn="0" w:firstRow="0" w:val="0000"/>
      </w:tblPr>
      <w:tblGrid>
        <w:gridCol w:w="1808"/>
        <w:gridCol w:w="1876"/>
        <w:gridCol w:w="1854"/>
        <w:gridCol w:w="1940"/>
        <w:gridCol w:w="1877"/>
      </w:tblGrid>
      <w:tr>
        <w:trPr>
          <w:tblHeader w:val="true"/>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FETEI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tc>
      </w:tr>
      <w:tr>
        <w:trPr>
          <w:trHeight w:val="134"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0" w:type="dxa"/>
          <w:left w:w="108" w:type="dxa"/>
          <w:bottom w:w="0" w:type="dxa"/>
          <w:right w:w="108" w:type="dxa"/>
        </w:tblCellMar>
        <w:tblLook w:noHBand="0" w:noVBand="0" w:firstColumn="0" w:lastRow="0" w:lastColumn="0" w:firstRow="0" w:val="0000"/>
      </w:tblPr>
      <w:tblGrid>
        <w:gridCol w:w="1580"/>
        <w:gridCol w:w="1584"/>
        <w:gridCol w:w="1580"/>
        <w:gridCol w:w="1583"/>
        <w:gridCol w:w="1469"/>
        <w:gridCol w:w="1559"/>
      </w:tblGrid>
      <w:tr>
        <w:trPr>
          <w:tblHeader w:val="true"/>
          <w:trHeight w:val="160" w:hRule="atLeast"/>
        </w:trPr>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tc>
        <w:tc>
          <w:tcPr>
            <w:tcW w:w="158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tc>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tc>
        <w:tc>
          <w:tcPr>
            <w:tcW w:w="14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tc>
      </w:tr>
      <w:tr>
        <w:trPr>
          <w:trHeight w:val="160" w:hRule="atLeast"/>
        </w:trPr>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BRANCARDA</w:t>
            </w:r>
          </w:p>
        </w:tc>
        <w:tc>
          <w:tcPr>
            <w:tcW w:w="14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DUS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0" w:type="dxa"/>
          <w:left w:w="108" w:type="dxa"/>
          <w:bottom w:w="0" w:type="dxa"/>
          <w:right w:w="108" w:type="dxa"/>
        </w:tblCellMar>
        <w:tblLook w:noHBand="0" w:noVBand="0" w:firstColumn="0" w:lastRow="0" w:lastColumn="0" w:firstRow="0" w:val="0000"/>
      </w:tblPr>
      <w:tblGrid>
        <w:gridCol w:w="3118"/>
        <w:gridCol w:w="3118"/>
        <w:gridCol w:w="3119"/>
      </w:tblGrid>
      <w:tr>
        <w:trPr>
          <w:tblHeader w:val="true"/>
          <w:trHeight w:val="1053" w:hRule="atLeast"/>
        </w:trPr>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tc>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tc>
      </w:tr>
      <w:tr>
        <w:trPr>
          <w:trHeight w:val="173" w:hRule="atLeast"/>
        </w:trPr>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0" w:type="dxa"/>
          <w:left w:w="108" w:type="dxa"/>
          <w:bottom w:w="0" w:type="dxa"/>
          <w:right w:w="108" w:type="dxa"/>
        </w:tblCellMar>
        <w:tblLook w:noHBand="0" w:noVBand="0" w:firstColumn="0" w:lastRow="0" w:lastColumn="0" w:firstRow="0" w:val="0000"/>
      </w:tblPr>
      <w:tblGrid>
        <w:gridCol w:w="1871"/>
        <w:gridCol w:w="1871"/>
        <w:gridCol w:w="1871"/>
        <w:gridCol w:w="1871"/>
        <w:gridCol w:w="1871"/>
      </w:tblGrid>
      <w:tr>
        <w:trPr>
          <w:tblHeader w:val="true"/>
          <w:trHeight w:val="1036" w:hRule="atLeast"/>
        </w:trPr>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tc>
      </w:tr>
      <w:tr>
        <w:trPr>
          <w:trHeight w:val="170" w:hRule="atLeast"/>
        </w:trPr>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0" w:type="dxa"/>
          <w:left w:w="108" w:type="dxa"/>
          <w:bottom w:w="0" w:type="dxa"/>
          <w:right w:w="108" w:type="dxa"/>
        </w:tblCellMar>
        <w:tblLook w:noHBand="0" w:noVBand="0" w:firstColumn="0" w:lastRow="0" w:lastColumn="0" w:firstRow="0" w:val="0000"/>
      </w:tblPr>
      <w:tblGrid>
        <w:gridCol w:w="1943"/>
        <w:gridCol w:w="2014"/>
        <w:gridCol w:w="1989"/>
        <w:gridCol w:w="1727"/>
        <w:gridCol w:w="1682"/>
      </w:tblGrid>
      <w:tr>
        <w:trPr>
          <w:tblHeader w:val="true"/>
          <w:trHeight w:val="170" w:hRule="atLeast"/>
        </w:trPr>
        <w:tc>
          <w:tcPr>
            <w:tcW w:w="194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tc>
        <w:tc>
          <w:tcPr>
            <w:tcW w:w="201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tc>
        <w:tc>
          <w:tcPr>
            <w:tcW w:w="198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tc>
        <w:tc>
          <w:tcPr>
            <w:tcW w:w="16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tc>
      </w:tr>
      <w:tr>
        <w:trPr>
          <w:trHeight w:val="170" w:hRule="atLeast"/>
        </w:trPr>
        <w:tc>
          <w:tcPr>
            <w:tcW w:w="1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0" w:type="dxa"/>
          <w:left w:w="108" w:type="dxa"/>
          <w:bottom w:w="0" w:type="dxa"/>
          <w:right w:w="108" w:type="dxa"/>
        </w:tblCellMar>
        <w:tblLook w:noHBand="0" w:noVBand="0" w:firstColumn="0" w:lastRow="0" w:lastColumn="0" w:firstRow="0" w:val="0000"/>
      </w:tblPr>
      <w:tblGrid>
        <w:gridCol w:w="3056"/>
        <w:gridCol w:w="3170"/>
        <w:gridCol w:w="3129"/>
      </w:tblGrid>
      <w:tr>
        <w:trPr>
          <w:tblHeader w:val="true"/>
          <w:trHeight w:val="156" w:hRule="atLeast"/>
        </w:trPr>
        <w:tc>
          <w:tcPr>
            <w:tcW w:w="305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tc>
        <w:tc>
          <w:tcPr>
            <w:tcW w:w="31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tc>
        <w:tc>
          <w:tcPr>
            <w:tcW w:w="31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tc>
      </w:tr>
      <w:tr>
        <w:trPr>
          <w:trHeight w:val="156" w:hRule="atLeast"/>
        </w:trPr>
        <w:tc>
          <w:tcPr>
            <w:tcW w:w="305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0" w:type="dxa"/>
          <w:left w:w="108" w:type="dxa"/>
          <w:bottom w:w="0"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natură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afară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Ținerii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Ținerii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w:t>
      </w:r>
    </w:p>
    <w:p>
      <w:pPr>
        <w:pStyle w:val="Heading2"/>
        <w:widowControl/>
        <w:tabs>
          <w:tab w:val="clear" w:pos="504"/>
        </w:tabs>
        <w:spacing w:before="0" w:after="120"/>
        <w:ind w:hanging="0" w:left="0"/>
        <w:jc w:val="left"/>
        <w:rPr>
          <w:rFonts w:ascii="Arial" w:hAnsi="Arial" w:cs="Arial"/>
          <w:sz w:val="18"/>
          <w:szCs w:val="18"/>
          <w:lang w:val="it-CH"/>
        </w:rPr>
      </w:pPr>
      <w:r>
        <w:rPr>
          <w:rFonts w:eastAsia="Arial" w:cs="Arial" w:ascii="Arial" w:hAnsi="Arial"/>
          <w:color w:val="auto"/>
          <w:spacing w:val="0"/>
          <w:w w:val="100"/>
          <w:sz w:val="20"/>
          <w:szCs w:val="20"/>
          <w:lang w:val="ro-RO"/>
        </w:rPr>
        <w:t>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calamitati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afară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comunică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modifică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comunică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comunică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evidența,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evidența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functionarii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urgența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natură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să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ordonanta de urgența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ordonanta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să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schimbă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muncă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muncă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salariată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salariată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afară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Heading1"/>
        <w:widowControl/>
        <w:numPr>
          <w:ilvl w:val="0"/>
          <w:numId w:val="0"/>
        </w:numPr>
        <w:spacing w:before="0" w:after="120"/>
        <w:ind w:hanging="0" w:left="0"/>
        <w:jc w:val="left"/>
        <w:rPr>
          <w:rStyle w:val="tli1"/>
          <w:b w:val="false"/>
          <w:bCs w:val="false"/>
          <w:sz w:val="18"/>
          <w:szCs w:val="18"/>
          <w:lang w:val="it-IT"/>
        </w:rPr>
      </w:pP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80^1.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ListParagraph"/>
        <w:widowControl/>
        <w:numPr>
          <w:ilvl w:val="0"/>
          <w:numId w:val="0"/>
        </w:numPr>
        <w:spacing w:before="0" w:after="60"/>
        <w:ind w:hanging="0" w:left="0"/>
        <w:contextualSpacing/>
        <w:jc w:val="left"/>
        <w:rPr>
          <w:rStyle w:val="tli1"/>
          <w:rFonts w:ascii="Arial" w:hAnsi="Arial" w:cs="Arial"/>
          <w:bCs/>
          <w:sz w:val="18"/>
          <w:szCs w:val="18"/>
          <w:lang w:val="ro-RO"/>
        </w:rPr>
      </w:pP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câte șeful ierarhic superior celui care a făcut instruirea și se consemnează în fișa de instruire individuală.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egală măsură, la producerea unui accident sau a unei îmbolnăviri profesionale, trebuiesc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u w:val="single"/>
          <w:lang w:val="ro-RO"/>
        </w:rPr>
        <w:t>Costul indirect implică</w:t>
      </w:r>
      <w:r>
        <w:rPr>
          <w:rFonts w:eastAsia="Arial" w:cs="Arial" w:ascii="Arial" w:hAnsi="Arial"/>
          <w:color w:val="auto"/>
          <w:spacing w:val="0"/>
          <w:w w:val="100"/>
          <w:sz w:val="20"/>
          <w:szCs w:val="20"/>
          <w:lang w:val="ro-RO"/>
        </w:rPr>
        <w:t>:</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De asemenea, la estimarea costului indirect trebuiesc incluse și unele costuri incalculabile suportate de victimă constând în:</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u w:val="single"/>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u w:val="single"/>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u w:val="single"/>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u w:val="single"/>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u w:val="single"/>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u w:val="single"/>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u w:val="single"/>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u w:val="single"/>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single"/>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u w:val="single"/>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tbl>
      <w:tblPr>
        <w:tblW w:w="5000" w:type="pct"/>
        <w:jc w:val="left"/>
        <w:tblInd w:w="0" w:type="dxa"/>
        <w:tblLayout w:type="fixed"/>
        <w:tblCellMar>
          <w:top w:w="0" w:type="dxa"/>
          <w:left w:w="108" w:type="dxa"/>
          <w:bottom w:w="0" w:type="dxa"/>
          <w:right w:w="108" w:type="dxa"/>
        </w:tblCellMar>
        <w:tblLook w:noHBand="0" w:noVBand="0" w:firstColumn="0" w:lastRow="0" w:lastColumn="0" w:firstRow="0" w:val="0000"/>
      </w:tblPr>
      <w:tblGrid>
        <w:gridCol w:w="2473"/>
        <w:gridCol w:w="6882"/>
      </w:tblGrid>
      <w:tr>
        <w:trPr>
          <w:tblHeader w:val="true"/>
          <w:trHeight w:val="1248" w:hRule="atLeast"/>
          <w:cantSplit/>
        </w:trPr>
        <w:tc>
          <w:tcPr>
            <w:tcW w:w="2473"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rPr>
                <w:rFonts w:ascii="Arial" w:hAnsi="Arial" w:cs="Arial"/>
                <w:sz w:val="18"/>
                <w:szCs w:val="18"/>
                <w:lang w:val="da-DK"/>
              </w:rPr>
            </w:pPr>
            <w:r>
              <w:rPr>
                <w:rFonts w:eastAsia="Arial" w:cs="Arial" w:ascii="Arial" w:hAnsi="Arial"/>
                <w:color w:val="auto"/>
                <w:spacing w:val="0"/>
                <w:w w:val="100"/>
                <w:sz w:val="20"/>
                <w:szCs w:val="20"/>
                <w:lang w:val="ro-RO"/>
              </w:rPr>
              <w:drawing>
                <wp:anchor distT="0" distB="0" distL="114300" distR="114300" simplePos="0" relativeHeight="128" behindDoc="0" locked="0" layoutInCell="1" allowOverlap="1">
                  <wp:simplePos x="0" y="0"/>
                  <wp:positionH relativeFrom="column">
                    <wp:posOffset>18415</wp:posOffset>
                  </wp:positionH>
                  <wp:positionV relativeFrom="paragraph">
                    <wp:posOffset>-1075055</wp:posOffset>
                  </wp:positionV>
                  <wp:extent cx="1430020" cy="1076325"/>
                  <wp:effectExtent l="0" t="0" r="0" b="0"/>
                  <wp:wrapTopAndBottom/>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anchor>
              </w:drawing>
            </w:r>
          </w:p>
        </w:tc>
        <w:tc>
          <w:tcPr>
            <w:tcW w:w="68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0"/>
              <w:rPr>
                <w:rFonts w:ascii="Arial" w:hAnsi="Arial" w:cs="Arial"/>
                <w:bCs/>
                <w:sz w:val="18"/>
                <w:szCs w:val="18"/>
                <w:lang w:val="da-DK"/>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0"/>
              <w:jc w:val="left"/>
              <w:rPr>
                <w:rFonts w:ascii="Arial" w:hAnsi="Arial" w:cs="Arial"/>
                <w:bCs/>
                <w:sz w:val="18"/>
                <w:szCs w:val="18"/>
                <w:lang w:val="da-DK"/>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u w:val="single"/>
          <w:lang w:val="ro-RO"/>
        </w:rPr>
        <w:t xml:space="preserve">Având în vedere prevederile de mai sus, </w:t>
      </w:r>
      <w:r>
        <w:rPr>
          <w:rStyle w:val="tpa1"/>
          <w:rFonts w:eastAsia="Arial" w:cs="Arial" w:ascii="Arial" w:hAnsi="Arial"/>
          <w:color w:val="auto"/>
          <w:spacing w:val="0"/>
          <w:w w:val="100"/>
          <w:sz w:val="20"/>
          <w:szCs w:val="20"/>
          <w:u w:val="single"/>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u w:val="single"/>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caz de accident se poate acorda și de către personalul prezent la locul accidentului, cu condiția ca acesta să cunoască măsurile care trebuiesc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tbl>
      <w:tblPr>
        <w:tblW w:w="5000" w:type="pct"/>
        <w:jc w:val="left"/>
        <w:tblInd w:w="0" w:type="dxa"/>
        <w:tblLayout w:type="fixed"/>
        <w:tblCellMar>
          <w:top w:w="0" w:type="dxa"/>
          <w:left w:w="108" w:type="dxa"/>
          <w:bottom w:w="0" w:type="dxa"/>
          <w:right w:w="108" w:type="dxa"/>
        </w:tblCellMar>
        <w:tblLook w:noHBand="0" w:noVBand="0" w:firstColumn="0" w:lastRow="0" w:lastColumn="0" w:firstRow="0" w:val="0000"/>
      </w:tblPr>
      <w:tblGrid>
        <w:gridCol w:w="1752"/>
        <w:gridCol w:w="7603"/>
      </w:tblGrid>
      <w:tr>
        <w:trPr>
          <w:tblHeader w:val="true"/>
          <w:trHeight w:val="523" w:hRule="atLeast"/>
          <w:cantSplit/>
        </w:trPr>
        <w:tc>
          <w:tcPr>
            <w:tcW w:w="175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tc>
        <w:tc>
          <w:tcPr>
            <w:tcW w:w="76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i/>
                <w:sz w:val="18"/>
                <w:szCs w:val="18"/>
                <w:lang w:val="da-DK"/>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0"/>
              <w:jc w:val="left"/>
              <w:rPr>
                <w:rFonts w:ascii="Arial" w:hAnsi="Arial" w:cs="Arial"/>
                <w:i/>
                <w:sz w:val="18"/>
                <w:szCs w:val="18"/>
                <w:lang w:val="da-DK"/>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0"/>
              <w:jc w:val="left"/>
              <w:rPr>
                <w:rFonts w:ascii="Arial" w:hAnsi="Arial" w:cs="Arial"/>
                <w:bCs/>
                <w:sz w:val="18"/>
                <w:szCs w:val="18"/>
                <w:lang w:val="da-DK"/>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u w:val="single"/>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u w:val="single"/>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u w:val="single"/>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u w:val="single"/>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 și bunurilor în caz de incendiu</w:t>
      </w:r>
      <w:r>
        <w:rPr>
          <w:rFonts w:eastAsia="Arial" w:cs="Arial" w:ascii="Arial" w:hAnsi="Arial"/>
          <w:color w:val="auto"/>
          <w:spacing w:val="0"/>
          <w:w w:val="100"/>
          <w:sz w:val="20"/>
          <w:szCs w:val="20"/>
          <w:lang w:val="ro-RO"/>
        </w:rPr>
        <w:t>:</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Limitarea propagării incendiilor</w:t>
      </w:r>
      <w:r>
        <w:rPr>
          <w:rFonts w:eastAsia="Arial" w:cs="Arial" w:ascii="Arial" w:hAnsi="Arial"/>
          <w:color w:val="auto"/>
          <w:spacing w:val="0"/>
          <w:w w:val="100"/>
          <w:sz w:val="20"/>
          <w:szCs w:val="20"/>
          <w:lang w:val="ro-RO"/>
        </w:rPr>
        <w:t>:</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ordonanta de urgență.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 a caz, administrativ, contravențional, civil sau penal, în condițiile legii.</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 și nivel cu lumina verde normală a semaforului, sub forma unei săgeți verzi pe fond negru, cu vârful spre dreapta, aprinderea acesteia semnifica permisiunea pentru vehicule de a- și continuă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12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0" w:after="0"/>
        <w:ind w:hanging="0"/>
        <w:jc w:val="left"/>
        <w:rPr>
          <w:rFonts w:ascii="Arial" w:hAnsi="Arial" w:cs="Arial"/>
          <w:sz w:val="2"/>
          <w:szCs w:val="18"/>
          <w:lang w:val="ro-RO"/>
        </w:rPr>
      </w:pPr>
      <w:r>
        <w:rPr>
          <w:rFonts w:eastAsia="Arial" w:cs="Arial" w:ascii="Arial" w:hAnsi="Arial"/>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lang w:val="it-IT"/>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lang w:val="it-IT"/>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lang w:val="it-IT"/>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41990</Words>
  <Characters>243092</Characters>
  <CharactersWithSpaces>282200</CharactersWithSpaces>
  <Paragraphs>2173</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2026-09-19T00:38:46Z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