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punctele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angajatorului periodic (lunar sau trimestrial), într-o sinteză, și, în funcție de importanța încălcării, imediat ce ia cunoștință de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Propuneri de sancțiuni și stimulente pentru lucrători pe criteriul îndeplinirii atribuțiilor în domeniul securității și sănătății în muncă. Aceste propuneri vor fi efectuate de către șeful ierarhic superior, către serviciul intern sau extern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angajator,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