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prezența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în caz de furtună și fulgere sau în cazul în care se părăsește domiciliu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materiale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climă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sau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deconectăm cablul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acestui curs constituie</w:t>
      </w:r>
      <w:r>
        <w:rPr>
          <w:rStyle w:val="tax1"/>
          <w:rFonts w:eastAsia="Arial" w:cs="Arial" w:ascii="Arial" w:hAnsi="Arial"/>
          <w:b w:val="false"/>
          <w:bCs w:val="false"/>
          <w:color w:val="auto"/>
          <w:spacing w:val="0"/>
          <w:w w:val="100"/>
          <w:sz w:val="20"/>
          <w:szCs w:val="20"/>
          <w:lang w:val="ro-RO"/>
        </w:rPr>
        <w:t xml:space="preserve"> pregătire în domeniul securității și sănătății în muncă corespunzător nivelului de pregătire de bază.</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bășici ce conține un lichid serocitriu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microscopică față de plăgi sau preexistenței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Această celulă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termovulneranți pot acționa prin contact direct, provocând arsura cutanată sau indirect (mediat) prin aerul atmosferic, apărând arsuri patologice și insolație (sindrom de supraîncălzire; secundar arsurii cutanate). În afară de aceste cauze se mai descriu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și în al doilea rând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vindecă în timp mai scurt sau mai lung, se vindecă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constantă-temperatura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manevră care se face la locul accidentului, în cazul în care diagnosticăm o fractură, este de a imobiliza manual zona lezată, cu ambele mâini introduse simultan de-o parte și de altă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subiacentă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Gâtul se examinează prin inspecție și palpare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curăță cavitatea bucală și nasul de corpi străini, resturi de mâncare sau mase vomitive, nisip. Dacă căile respiratorii sunt libere, iar respirația lipsește, se începe respirația artificială prin metoda „gură-în-gură” sau „gură-în-nas”.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gură-în-nas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umplerii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insuficiența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greață, vomă, necoordonarea mișcărilor, dereglări ușoare de conștiință, posibil lipotemie. Tegumentele sunt înroșite, adeseori - transpirații calde, temperatura corpului – 38° - 40°.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decăderii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mână sau picior. Țesuturile edematiate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explozie sau incendiu este admis numai în locurile stabilite de conducere și special amenajate (prevăzute cu posibilități pentru stingerea țigărilor, chibritelor),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antena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la 55% din cauza comportamentului incorect al victimelor, acțiunilor inconștiente, condiționate de frică,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salmoneloza.</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umedă cu soluție de clorură de var 2-5% sau înălbitor, lenjeria și vesela se fierbe timp de 15-20 minute în soluție de sodă sau muiate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vă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vă îndreptați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că echipamentul individual de protecție nu mai corespunde din punct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că echipamentul individual de protecție nu mai corespunde din punct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