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ecisionNumbers.training}}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w:t>
      </w:r>
      <w:r>
        <w:rPr>
          <w:rFonts w:eastAsia="Arial" w:cs="Arial" w:ascii="Arial" w:hAnsi="Arial"/>
          <w:bCs/>
          <w:color w:val="auto"/>
          <w:spacing w:val="0"/>
          <w:w w:val="100"/>
          <w:sz w:val="20"/>
          <w:szCs w:val="20"/>
          <w:lang w:val="ro-RO"/>
        </w:rPr>
        <w:t xml:space="preserve"> a) și</w:t>
      </w:r>
      <w:r>
        <w:rPr>
          <w:rFonts w:eastAsia="Arial" w:cs="Arial" w:ascii="Arial" w:hAnsi="Arial"/>
          <w:color w:val="auto"/>
          <w:spacing w:val="0"/>
          <w:w w:val="100"/>
          <w:sz w:val="20"/>
          <w:szCs w:val="20"/>
          <w:lang w:val="ro-RO"/>
        </w:rPr>
        <w:t xml:space="preserve"> g), ale Legii 481/2004 – art. 28 alin. (1) lit. f), ale OMAI 712/2005 – art. 8 pct. 1, ale OMAI 786/2005 – art. 3 și ale OMAI 163/2007 – art. 5 lit. b) ș</w:t>
      </w:r>
      <w:r>
        <w:rPr>
          <w:rFonts w:eastAsia="Arial" w:cs="Arial" w:ascii="Arial" w:hAnsi="Arial"/>
          <w:color w:val="auto"/>
          <w:spacing w:val="0"/>
          <w:w w:val="100"/>
          <w:sz w:val="20"/>
          <w:szCs w:val="20"/>
          <w:lang w:val="ro-RO"/>
        </w:rPr>
        <w:t>i art. 17 lit. d), {{cl</w:t>
      </w:r>
      <w:r>
        <w:rPr>
          <w:rFonts w:eastAsia="Arial" w:cs="Arial" w:ascii="Arial" w:hAnsi="Arial"/>
          <w:color w:val="auto"/>
          <w:spacing w:val="0"/>
          <w:w w:val="100"/>
          <w:sz w:val="20"/>
          <w:szCs w:val="20"/>
          <w:lang w:val="ro-RO"/>
        </w:rPr>
        <w:t>ient.representativeName}}, în calitate de {{f</w:t>
      </w:r>
      <w:r>
        <w:rPr>
          <w:rStyle w:val="PageNumber"/>
          <w:rFonts w:eastAsia="Arial" w:cs="Arial" w:ascii="Arial" w:hAnsi="Arial"/>
          <w:color w:val="auto"/>
          <w:spacing w:val="0"/>
          <w:w w:val="100"/>
          <w:sz w:val="20"/>
          <w:szCs w:val="20"/>
          <w:lang w:val="ro-RO"/>
        </w:rPr>
        <w:t>ire.representati</w:t>
      </w:r>
      <w:r>
        <w:rPr>
          <w:rFonts w:eastAsia="Arial" w:cs="Arial" w:ascii="Arial" w:hAnsi="Arial"/>
          <w:color w:val="auto"/>
          <w:spacing w:val="0"/>
          <w:w w:val="100"/>
          <w:sz w:val="20"/>
          <w:szCs w:val="20"/>
          <w:lang w:val="ro-RO"/>
        </w:rPr>
        <w:t>veRoleRunOn}}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HTMLPreformatted"/>
        <w:keepNext/>
        <w:widowControl/>
        <w:tabs>
          <w:tab w:val="left" w:pos="720" w:leader="none"/>
        </w:tabs>
        <w:spacing w:before="0" w:after="120"/>
        <w:ind w:hanging="0"/>
        <w:jc w:val="left"/>
        <w:rPr>
          <w:rFonts w:ascii="Arial" w:hAnsi="Arial" w:cs="Arial"/>
        </w:rPr>
      </w:pPr>
      <w:r>
        <w:rPr>
          <w:rFonts w:eastAsia="Arial" w:cs="Arial" w:ascii="Arial" w:hAnsi="Arial"/>
          <w:color w:val="auto"/>
          <w:spacing w:val="0"/>
          <w:w w:val="100"/>
          <w:sz w:val="20"/>
          <w:szCs w:val="20"/>
          <w:lang w:val="ro-RO"/>
        </w:rPr>
        <w:t>Măsurile obligatorii privind instruirea salariaților în domeniul situațiilor de urgență, astfel:</w:t>
      </w:r>
    </w:p>
    <w:p>
      <w:pPr>
        <w:pStyle w:val="HTMLPreformatted"/>
        <w:keepNext/>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Pentru executarea instructajelor în domeniul situațiilor de urgență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desemnează următoarele persoane: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introductiv general: {{fir</w:t>
      </w:r>
      <w:r>
        <w:rPr>
          <w:rFonts w:eastAsia="Arial" w:cs="Arial" w:ascii="Arial" w:hAnsi="Arial"/>
          <w:color w:val="auto"/>
          <w:spacing w:val="0"/>
          <w:w w:val="100"/>
          <w:sz w:val="20"/>
          <w:szCs w:val="20"/>
          <w:lang w:val="ro-RO"/>
        </w:rPr>
        <w:t>eSafetyTechnician.na</w:t>
      </w:r>
      <w:r>
        <w:rPr>
          <w:rFonts w:eastAsia="Arial" w:cs="Arial" w:ascii="Arial" w:hAnsi="Arial"/>
          <w:color w:val="auto"/>
          <w:spacing w:val="0"/>
          <w:w w:val="100"/>
          <w:sz w:val="20"/>
          <w:szCs w:val="20"/>
          <w:lang w:val="ro-RO"/>
        </w:rPr>
        <w:t>me}}, cadru tehnic cu atribuții în domeniul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și a instructajului periodic al șefilor locurilor de muncă din cadrul {{client.legalName}}: {{fireSaf</w:t>
      </w:r>
      <w:r>
        <w:rPr>
          <w:rStyle w:val="PageNumber"/>
          <w:rFonts w:eastAsia="Arial" w:cs="Arial" w:ascii="Arial" w:hAnsi="Arial"/>
          <w:color w:val="auto"/>
          <w:spacing w:val="0"/>
          <w:w w:val="100"/>
          <w:sz w:val="20"/>
          <w:szCs w:val="20"/>
          <w:lang w:val="ro-RO"/>
        </w:rPr>
        <w:t>etyTechnician.name}}, cadru t</w:t>
      </w:r>
      <w:r>
        <w:rPr>
          <w:rStyle w:val="PageNumber"/>
          <w:rFonts w:eastAsia="Arial" w:cs="Arial" w:ascii="Arial" w:hAnsi="Arial"/>
          <w:color w:val="auto"/>
          <w:spacing w:val="0"/>
          <w:w w:val="100"/>
          <w:sz w:val="20"/>
          <w:szCs w:val="20"/>
          <w:lang w:val="ro-RO"/>
        </w:rPr>
        <w:t xml:space="preserve">ehnic cu atribuții în </w:t>
      </w:r>
      <w:r>
        <w:rPr>
          <w:rStyle w:val="PageNumber"/>
          <w:rFonts w:eastAsia="Arial" w:cs="Arial" w:ascii="Arial" w:hAnsi="Arial"/>
          <w:color w:val="auto"/>
          <w:spacing w:val="0"/>
          <w:w w:val="100"/>
          <w:sz w:val="20"/>
          <w:szCs w:val="20"/>
          <w:lang w:val="ro-RO"/>
        </w:rPr>
        <w:t>domen</w:t>
      </w:r>
      <w:r>
        <w:rPr>
          <w:rStyle w:val="PageNumber"/>
          <w:rFonts w:eastAsia="Arial" w:cs="Arial" w:ascii="Arial" w:hAnsi="Arial"/>
          <w:color w:val="auto"/>
          <w:spacing w:val="0"/>
          <w:w w:val="100"/>
          <w:sz w:val="20"/>
          <w:szCs w:val="20"/>
          <w:lang w:val="ro-RO"/>
        </w:rPr>
        <w:t>i</w:t>
      </w:r>
      <w:r>
        <w:rPr>
          <w:rFonts w:eastAsia="Arial" w:cs="Arial" w:ascii="Arial" w:hAnsi="Arial"/>
          <w:color w:val="auto"/>
          <w:spacing w:val="0"/>
          <w:w w:val="100"/>
          <w:sz w:val="20"/>
          <w:szCs w:val="20"/>
          <w:lang w:val="ro-RO"/>
        </w:rPr>
        <w:t>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16 și OMAI 786/2005 – art. 1 pct. 7, se desemnează șeful fiecărui loc de muncă: {{#fire.workplaceManagers}}{{name}}, având func</w:t>
      </w:r>
      <w:r>
        <w:rPr>
          <w:rFonts w:eastAsia="Arial" w:cs="Arial" w:ascii="Arial" w:hAnsi="Arial"/>
          <w:color w:val="auto"/>
          <w:spacing w:val="0"/>
          <w:w w:val="100"/>
          <w:sz w:val="20"/>
          <w:szCs w:val="20"/>
          <w:lang w:val="ro-RO"/>
        </w:rPr>
        <w:t>ția de {{jobTitleRun</w:t>
      </w:r>
      <w:r>
        <w:rPr>
          <w:rFonts w:eastAsia="Arial" w:cs="Arial" w:ascii="Arial" w:hAnsi="Arial"/>
          <w:color w:val="auto"/>
          <w:spacing w:val="0"/>
          <w:w w:val="100"/>
          <w:sz w:val="20"/>
          <w:szCs w:val="20"/>
          <w:lang w:val="ro-RO"/>
        </w:rPr>
        <w:t>On}}; {{/fire.work</w:t>
      </w:r>
      <w:r>
        <w:rPr>
          <w:rFonts w:eastAsia="Arial" w:cs="Arial" w:ascii="Arial" w:hAnsi="Arial"/>
          <w:color w:val="auto"/>
          <w:spacing w:val="0"/>
          <w:w w:val="100"/>
          <w:sz w:val="20"/>
          <w:szCs w:val="20"/>
          <w:lang w:val="ro-RO"/>
        </w:rPr>
        <w:t>placeManagers}}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periodic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31 și OMAI 786/2005, se desemnează șeful fiecărui loc de muncă: {{#fire.workplaceManagers}}{{name}}, având f</w:t>
      </w:r>
      <w:r>
        <w:rPr>
          <w:rFonts w:eastAsia="Arial" w:cs="Arial" w:ascii="Arial" w:hAnsi="Arial"/>
          <w:color w:val="auto"/>
          <w:spacing w:val="0"/>
          <w:w w:val="100"/>
          <w:sz w:val="20"/>
          <w:szCs w:val="20"/>
          <w:lang w:val="ro-RO"/>
        </w:rPr>
        <w:t>uncția de {{jobTitle</w:t>
      </w:r>
      <w:r>
        <w:rPr>
          <w:rFonts w:eastAsia="Arial" w:cs="Arial" w:ascii="Arial" w:hAnsi="Arial"/>
          <w:color w:val="auto"/>
          <w:spacing w:val="0"/>
          <w:w w:val="100"/>
          <w:sz w:val="20"/>
          <w:szCs w:val="20"/>
          <w:lang w:val="ro-RO"/>
        </w:rPr>
        <w:t>RunOn}}, {{/fire.w</w:t>
      </w:r>
      <w:r>
        <w:rPr>
          <w:rFonts w:eastAsia="Arial" w:cs="Arial" w:ascii="Arial" w:hAnsi="Arial"/>
          <w:color w:val="auto"/>
          <w:spacing w:val="0"/>
          <w:w w:val="100"/>
          <w:sz w:val="20"/>
          <w:szCs w:val="20"/>
          <w:lang w:val="ro-RO"/>
        </w:rPr>
        <w:t>orkplaceManager</w:t>
      </w:r>
      <w:r>
        <w:rPr>
          <w:rFonts w:eastAsia="Arial" w:cs="Arial" w:ascii="Arial" w:hAnsi="Arial"/>
          <w:color w:val="auto"/>
          <w:spacing w:val="0"/>
          <w:w w:val="100"/>
          <w:sz w:val="20"/>
          <w:szCs w:val="20"/>
          <w:lang w:val="ro-RO"/>
        </w:rPr>
        <w:t>s}}și, după caz,</w:t>
      </w:r>
      <w:r>
        <w:rPr>
          <w:rStyle w:val="PageNumber"/>
          <w:rFonts w:eastAsia="Arial" w:cs="Arial" w:ascii="Arial" w:hAnsi="Arial"/>
          <w:color w:val="auto"/>
          <w:spacing w:val="0"/>
          <w:w w:val="100"/>
          <w:sz w:val="20"/>
          <w:szCs w:val="20"/>
          <w:lang w:val="ro-RO"/>
        </w:rPr>
        <w:t xml:space="preserve"> {{fireSafetyTec</w:t>
      </w:r>
      <w:r>
        <w:rPr>
          <w:rFonts w:eastAsia="Arial" w:cs="Arial" w:ascii="Arial" w:hAnsi="Arial"/>
          <w:color w:val="auto"/>
          <w:spacing w:val="0"/>
          <w:w w:val="100"/>
          <w:sz w:val="20"/>
          <w:szCs w:val="20"/>
          <w:lang w:val="ro-RO"/>
        </w:rPr>
        <w:t>hnician.name}}, cadru tehn</w:t>
      </w:r>
      <w:r>
        <w:rPr>
          <w:rFonts w:eastAsia="Arial" w:cs="Arial" w:ascii="Arial" w:hAnsi="Arial"/>
          <w:color w:val="auto"/>
          <w:spacing w:val="0"/>
          <w:w w:val="100"/>
          <w:sz w:val="20"/>
          <w:szCs w:val="20"/>
          <w:lang w:val="ro-RO"/>
        </w:rPr>
        <w:t>ic cu atribuții în d</w:t>
      </w:r>
      <w:r>
        <w:rPr>
          <w:rFonts w:eastAsia="Arial" w:cs="Arial" w:ascii="Arial" w:hAnsi="Arial"/>
          <w:color w:val="auto"/>
          <w:spacing w:val="0"/>
          <w:w w:val="100"/>
          <w:sz w:val="20"/>
          <w:szCs w:val="20"/>
          <w:lang w:val="ro-RO"/>
        </w:rPr>
        <w:t>om</w:t>
      </w:r>
      <w:r>
        <w:rPr>
          <w:rFonts w:eastAsia="Arial" w:cs="Arial" w:ascii="Arial" w:hAnsi="Arial"/>
          <w:color w:val="auto"/>
          <w:spacing w:val="0"/>
          <w:w w:val="100"/>
          <w:sz w:val="20"/>
          <w:szCs w:val="20"/>
          <w:lang w:val="ro-RO"/>
        </w:rPr>
        <w:t>eniul apărăr</w:t>
      </w:r>
      <w:r>
        <w:rPr>
          <w:rFonts w:eastAsia="Arial" w:cs="Arial" w:ascii="Arial" w:hAnsi="Arial"/>
          <w:color w:val="auto"/>
          <w:spacing w:val="0"/>
          <w:w w:val="100"/>
          <w:sz w:val="20"/>
          <w:szCs w:val="20"/>
          <w:lang w:val="ro-RO"/>
        </w:rPr>
        <w:t>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 schimb, conform OMAI 712/2005 – art. 32–34, se desemnează șeful fiecărui loc de muncă: {{#fir</w:t>
      </w:r>
      <w:r>
        <w:rPr>
          <w:rFonts w:eastAsia="Arial" w:cs="Arial" w:ascii="Arial" w:hAnsi="Arial"/>
          <w:color w:val="auto"/>
          <w:spacing w:val="0"/>
          <w:w w:val="100"/>
          <w:sz w:val="20"/>
          <w:szCs w:val="20"/>
          <w:lang w:val="ro-RO"/>
        </w:rPr>
        <w:t>e.workplaceManagers}</w:t>
      </w:r>
      <w:r>
        <w:rPr>
          <w:rFonts w:eastAsia="Arial" w:cs="Arial" w:ascii="Arial" w:hAnsi="Arial"/>
          <w:color w:val="auto"/>
          <w:spacing w:val="0"/>
          <w:w w:val="100"/>
          <w:sz w:val="20"/>
          <w:szCs w:val="20"/>
          <w:lang w:val="ro-RO"/>
        </w:rPr>
        <w:t>}{{name}}, având f</w:t>
      </w:r>
      <w:r>
        <w:rPr>
          <w:rFonts w:eastAsia="Arial" w:cs="Arial" w:ascii="Arial" w:hAnsi="Arial"/>
          <w:color w:val="auto"/>
          <w:spacing w:val="0"/>
          <w:w w:val="100"/>
          <w:sz w:val="20"/>
          <w:szCs w:val="20"/>
          <w:lang w:val="ro-RO"/>
        </w:rPr>
        <w:t>uncția de {{job</w:t>
      </w:r>
      <w:r>
        <w:rPr>
          <w:rFonts w:eastAsia="Arial" w:cs="Arial" w:ascii="Arial" w:hAnsi="Arial"/>
          <w:color w:val="auto"/>
          <w:spacing w:val="0"/>
          <w:w w:val="100"/>
          <w:sz w:val="20"/>
          <w:szCs w:val="20"/>
          <w:lang w:val="ro-RO"/>
        </w:rPr>
        <w:t>TitleRunOn}}; {{</w:t>
      </w:r>
      <w:r>
        <w:rPr>
          <w:rStyle w:val="PageNumber"/>
          <w:rFonts w:eastAsia="Arial" w:cs="Arial" w:ascii="Arial" w:hAnsi="Arial"/>
          <w:color w:val="auto"/>
          <w:spacing w:val="0"/>
          <w:w w:val="100"/>
          <w:sz w:val="20"/>
          <w:szCs w:val="20"/>
          <w:lang w:val="ro-RO"/>
        </w:rPr>
        <w:t>/fire.workplaceM</w:t>
      </w:r>
      <w:r>
        <w:rPr>
          <w:rFonts w:eastAsia="Arial" w:cs="Arial" w:ascii="Arial" w:hAnsi="Arial"/>
          <w:color w:val="auto"/>
          <w:spacing w:val="0"/>
          <w:w w:val="100"/>
          <w:sz w:val="20"/>
          <w:szCs w:val="20"/>
          <w:lang w:val="ro-RO"/>
        </w:rPr>
        <w:t>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special pentru lucrări periculoase se vor avea în vedere tehnologia de execuție, de către conducătorul formației de lucru, și tehnologia de lucru, de către conducătorul locului de muncă. Efectuarea instructajului special pentru lucrări periculoase se consemnează, după caz, în permisul (autorizația) de execuție a lucrării, în registrul de tură sau în fișele individuale;</w:t>
      </w:r>
    </w:p>
    <w:p>
      <w:pPr>
        <w:pStyle w:val="HTMLPreformatted"/>
        <w:keepNext/>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Instructajul la conversia profesională se execută:</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alt loc de muncă, conform celor de mai sus (punctul 2);</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cadrul altui agent economic sau al altei instituții, conform celor de mai sus (punctele 1 și 2).</w:t>
      </w:r>
    </w:p>
    <w:p>
      <w:pPr>
        <w:pStyle w:val="HTMLPreformatted"/>
        <w:widowControl/>
        <w:numPr>
          <w:ilvl w:val="0"/>
          <w:numId w:val="15"/>
        </w:numPr>
        <w:spacing w:before="0" w:after="120"/>
        <w:jc w:val="left"/>
        <w:rPr>
          <w:rFonts w:ascii="Arial" w:hAnsi="Arial" w:cs="Arial"/>
          <w:lang w:val="ro-RO"/>
        </w:rPr>
      </w:pPr>
      <w:r>
        <w:rPr>
          <w:rFonts w:eastAsia="Arial" w:cs="Arial" w:ascii="Arial" w:hAnsi="Arial"/>
          <w:color w:val="auto"/>
          <w:spacing w:val="0"/>
          <w:w w:val="100"/>
          <w:sz w:val="20"/>
          <w:szCs w:val="20"/>
          <w:lang w:val="ro-RO"/>
        </w:rPr>
        <w:t>Instructajul pentru personalul din afara unității se execută de către personalul tehnic cu atribuții în domeniul prevenirii și stingerii incendiilor sau de conducătorul locului de muncă în care este prevăzut un astfel de instructa</w:t>
      </w:r>
      <w:r>
        <w:rPr>
          <w:rFonts w:eastAsia="Arial" w:cs="Arial" w:ascii="Arial" w:hAnsi="Arial"/>
          <w:color w:val="auto"/>
          <w:spacing w:val="0"/>
          <w:w w:val="100"/>
          <w:sz w:val="20"/>
          <w:szCs w:val="20"/>
          <w:lang w:val="ro-RO"/>
        </w:rPr>
        <w:t>j: {{#fire.workplace</w:t>
      </w:r>
      <w:r>
        <w:rPr>
          <w:rFonts w:eastAsia="Arial" w:cs="Arial" w:ascii="Arial" w:hAnsi="Arial"/>
          <w:color w:val="auto"/>
          <w:spacing w:val="0"/>
          <w:w w:val="100"/>
          <w:sz w:val="20"/>
          <w:szCs w:val="20"/>
          <w:lang w:val="ro-RO"/>
        </w:rPr>
        <w:t>Managers}}{{name}}</w:t>
      </w:r>
      <w:r>
        <w:rPr>
          <w:rFonts w:eastAsia="Arial" w:cs="Arial" w:ascii="Arial" w:hAnsi="Arial"/>
          <w:color w:val="auto"/>
          <w:spacing w:val="0"/>
          <w:w w:val="100"/>
          <w:sz w:val="20"/>
          <w:szCs w:val="20"/>
          <w:lang w:val="ro-RO"/>
        </w:rPr>
        <w:t>, având funcția</w:t>
      </w:r>
      <w:r>
        <w:rPr>
          <w:rFonts w:eastAsia="Arial" w:cs="Arial" w:ascii="Arial" w:hAnsi="Arial"/>
          <w:color w:val="auto"/>
          <w:spacing w:val="0"/>
          <w:w w:val="100"/>
          <w:sz w:val="20"/>
          <w:szCs w:val="20"/>
          <w:lang w:val="ro-RO"/>
        </w:rPr>
        <w:t xml:space="preserve"> de {{jobTitleRu</w:t>
      </w:r>
      <w:r>
        <w:rPr>
          <w:rStyle w:val="PageNumber"/>
          <w:rFonts w:eastAsia="Arial" w:cs="Arial" w:ascii="Arial" w:hAnsi="Arial"/>
          <w:color w:val="auto"/>
          <w:spacing w:val="0"/>
          <w:w w:val="100"/>
          <w:sz w:val="20"/>
          <w:szCs w:val="20"/>
          <w:lang w:val="ro-RO"/>
        </w:rPr>
        <w:t>nOn}}; {{/fire.w</w:t>
      </w:r>
      <w:r>
        <w:rPr>
          <w:rFonts w:eastAsia="Arial" w:cs="Arial" w:ascii="Arial" w:hAnsi="Arial"/>
          <w:color w:val="auto"/>
          <w:spacing w:val="0"/>
          <w:w w:val="100"/>
          <w:sz w:val="20"/>
          <w:szCs w:val="20"/>
          <w:lang w:val="ro-RO"/>
        </w:rPr>
        <w:t>orkplaceManagers}}</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 xml:space="preserve">Instruirea în domeniul prevenirii și stingerii incendiilor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 xml:space="preserve">se va </w:t>
      </w:r>
      <w:r>
        <w:rPr>
          <w:rFonts w:eastAsia="Arial" w:cs="Arial" w:ascii="Arial" w:hAnsi="Arial"/>
          <w:color w:val="auto"/>
          <w:spacing w:val="0"/>
          <w:w w:val="100"/>
          <w:sz w:val="20"/>
          <w:szCs w:val="20"/>
          <w:lang w:val="ro-RO"/>
        </w:rPr>
        <w:t>executa astfel:</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introductiv general</w:t>
      </w:r>
      <w:r>
        <w:rPr>
          <w:rFonts w:eastAsia="Arial" w:cs="Arial" w:ascii="Arial" w:hAnsi="Arial"/>
          <w:color w:val="auto"/>
          <w:spacing w:val="0"/>
          <w:w w:val="100"/>
          <w:sz w:val="20"/>
          <w:szCs w:val="20"/>
          <w:lang w:val="ro-RO"/>
        </w:rPr>
        <w:t>:</w:t>
      </w:r>
    </w:p>
    <w:p>
      <w:pPr>
        <w:pStyle w:val="HTMLPreformatted"/>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efectuarea instruirilor:</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0"/>
          <w:numId w:val="1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Conținutul instructajului – acte normative generale (Legea 481/2004, OMAI 166/2010, OMAI 1259/2006, Legea 307/2006 privind apărarea împotriva incendiilor, OMAI 163/2007, OMAI 106/2007), astfel:</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acte normative specifice: normele PSI și de dotare valabile în unitate, capitolul corespunzător obligațiilor PSI pentru personalul din categoria instruită;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organizare a activității de apărare împotriva incendiilor: plan de intervenție, plan de evacuare, plan de depozitare, exemplul de organizare a intervenției la locul de muncă;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forme și metode specifice de PSI: controale PSI (interne, din societate, și externe, de exemplu ale pompierilor militari), modul de sancționare a încălcărilor normelor PSI (contravenționale sau infracționale), măsuri de îmbunătățire a PSI, cu termene și responsabilități, forțe de intervenție (personalul de la locul de muncă, convenție), pompieri militari;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mijloacele tehnice de PSI existente și modul de utilizare a acestora: instalații speciale (de semnalizare și de stingere a incendiilor), instalații de stingere cu hidranți (interiori, exteriori) și modul de echipare a acestora (teoretic și practic), stingătoare portabile și transportabile, descriere sumară a construcției și substanțelor de stingere utilizate și descrierea amănunțită a modului de punere în funcțiune;</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acțiune în cazul observării unui incendiu și anunțarea lui: data și ora observării incendiului, locul evenimentului, mijloace de anunțare (telefon, sonerie), persoana care a anunțat incendiul, alarmarea forțelor proprii, anunțarea pompierilor militari – serviciul profesionist pentru situații de urgență, alarmarea conducerii societății, alarmarea altor forțe (dacă este cazul);</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acțiunile ce trebuie întreprinse după perceperea alarmei de incendiu: evacuarea persoanelor din construcția sau instalația incendiată și alarmarea persoanelor din construcțiile vecine, evacuarea materialelor periculoase (explozibile, recipiente sub presiune, recipiente cu gaze sau lichide inflamabile), evacuarea materialelor ce înglobează valori mari, evacuarea materialelor combustibile din calea de propagare a incendiului;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se va acorda o atenție sporită evacuărilor, atât de personal, cât și de materiale, care se vor face în locuri special stabilite, în afara spațiilor unde s-ar putea propaga incendiul, dar și în afara spațiilor rezervate forțelor de intervenție;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acționarea cu mijloace inițiale de combatere a incendiului (stingătoare, hidranți, instalații speciale) din dotarea spațiilor afectate;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se va acorda o atenție sporită acțiunilor efectuate simultan (de exemplu, evacuarea persoanelor și intervenția cu mijloacele de primă intervenție); ordinea înscrisă este cea a priorităților.</w:t>
      </w:r>
    </w:p>
    <w:p>
      <w:pPr>
        <w:pStyle w:val="HTMLPreformatted"/>
        <w:widowControl/>
        <w:numPr>
          <w:ilvl w:val="0"/>
          <w:numId w:val="1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 minime. Acestea din urmă vor repeta testarea până vor fi declarate apte din punct de vedere al cunoștințelor minime în domeniul apărării împotriva incendiilor.</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specific locului de muncă</w:t>
      </w:r>
      <w:r>
        <w:rPr>
          <w:rFonts w:eastAsia="Arial" w:cs="Arial" w:ascii="Arial" w:hAnsi="Arial"/>
          <w:color w:val="auto"/>
          <w:spacing w:val="0"/>
          <w:w w:val="100"/>
          <w:sz w:val="20"/>
          <w:szCs w:val="20"/>
          <w:lang w:val="ro-RO"/>
        </w:rPr>
        <w:t>:</w:t>
      </w:r>
    </w:p>
    <w:p>
      <w:pPr>
        <w:pStyle w:val="HTMLPreformatted"/>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instruire:</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instructajului:</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caracteristicile fizico-chimice și clasele de periculozitate ale substanțelor, materialelor și produselor utilizate la locul de muncă;</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cauzele potențiale și riscurile (pericolele) de incendiu și/sau explozie specifice locului de muncă, precum și măsurile de prevenire a acestora;</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și modul de urmărire și de intervenție la instalațiile și sistemele de siguranță ale mașinilor și utilajelor de la locurile de muncă, inclusiv la cele de prevenire a incidentelor și avariilor tehnologice;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instrucțiunilor de apărare împotriva incendiilor și a planurilor de intervenție specifice;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amplasarea și modul de acționare a instalațiilor, utilajelor, aparatelor, dispozitivelor și mijloacelor de protecție împotriva incendiilor;</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sarcinile specifice care îi revin persoanei instruite pentru prevenirea incendiilor, evacuarea persoanelor și a bunurilor și pentru anunțarea și stingerea incendiilor.</w:t>
      </w:r>
    </w:p>
    <w:p>
      <w:pPr>
        <w:pStyle w:val="HTMLPreformatted"/>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w:t>
      </w:r>
    </w:p>
    <w:p>
      <w:pPr>
        <w:pStyle w:val="HTMLPreformatted"/>
        <w:keepNext/>
        <w:widowControl/>
        <w:numPr>
          <w:ilvl w:val="1"/>
          <w:numId w:val="15"/>
        </w:numPr>
        <w:spacing w:before="0" w:after="40"/>
        <w:jc w:val="left"/>
        <w:rPr>
          <w:rFonts w:ascii="Arial" w:hAnsi="Arial" w:cs="Arial"/>
        </w:rPr>
      </w:pPr>
      <w:r>
        <w:rPr>
          <w:rFonts w:eastAsia="Arial" w:cs="Arial" w:ascii="Arial" w:hAnsi="Arial"/>
          <w:color w:val="auto"/>
          <w:spacing w:val="0"/>
          <w:w w:val="100"/>
          <w:sz w:val="20"/>
          <w:szCs w:val="20"/>
          <w:u w:val="single"/>
          <w:lang w:val="ro-RO"/>
        </w:rPr>
        <w:t>Instructajul periodic</w:t>
      </w:r>
      <w:r>
        <w:rPr>
          <w:rFonts w:eastAsia="Arial" w:cs="Arial" w:ascii="Arial" w:hAnsi="Arial"/>
          <w:color w:val="auto"/>
          <w:spacing w:val="0"/>
          <w:w w:val="100"/>
          <w:sz w:val="20"/>
          <w:szCs w:val="20"/>
          <w:lang w:val="ro-RO"/>
        </w:rPr>
        <w:t>:</w:t>
      </w:r>
    </w:p>
    <w:p>
      <w:pPr>
        <w:pStyle w:val="HTMLPreformatted"/>
        <w:keepNext/>
        <w:widowControl/>
        <w:numPr>
          <w:ilvl w:val="0"/>
          <w:numId w:val="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Având în vedere specificul activităților desfășurate în cadrul {{clien</w:t>
      </w:r>
      <w:r>
        <w:rPr>
          <w:rStyle w:val="PageNumber"/>
          <w:rFonts w:eastAsia="Arial" w:cs="Arial" w:ascii="Arial" w:hAnsi="Arial"/>
          <w:color w:val="auto"/>
          <w:spacing w:val="0"/>
          <w:w w:val="100"/>
          <w:sz w:val="20"/>
          <w:szCs w:val="20"/>
          <w:lang w:val="ro-RO"/>
        </w:rPr>
        <w:t>t.legalName}}, c</w:t>
      </w:r>
      <w:r>
        <w:rPr>
          <w:rFonts w:eastAsia="Arial" w:cs="Arial" w:ascii="Arial" w:hAnsi="Arial"/>
          <w:color w:val="auto"/>
          <w:spacing w:val="0"/>
          <w:w w:val="100"/>
          <w:sz w:val="20"/>
          <w:szCs w:val="20"/>
          <w:lang w:val="ro-RO"/>
        </w:rPr>
        <w:t>onform prevederilor OMAI 712/2005 – art. 26, se stabilesc următoarele intervale de timp pentru efectuarea instructajelor periodice:</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administrativ ({{fire.staff.administrativeText}}) va fi instruit la {{fire.schedule.administrativeIntervalLabel}}, respectiv în {{fire.schedule.administrativeMonths}}, între zilele {{fire.schedule.dayFrom}} și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de execuție ({{fire.staff.executionText}}) va fi instruit la {{fire.schedule.workerIntervalLabel}}, respectiv în {{fire.schedule.workerMonths}}, între zilele {{fire.schedule.dayFrom}} și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Lista personalului nominalizat în echipa de primă intervenție va fi actualizată lunar. Componența echipelor de primă intervenție se stabilește de șeful locului de muncă din care fac parte membrii acestora.</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periodic va fi de {{fire.schedule.periodicLabel}}.</w:t>
      </w:r>
    </w:p>
    <w:p>
      <w:pPr>
        <w:pStyle w:val="HTMLPreformatted"/>
        <w:keepNext/>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periodic se va face obligatoriu în următoarele cazuri:</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un salariat a lipsit mai mult de treizeci de zile calendaristice de la locul de muncă;</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s-au adus modificări procesului tehnologic sau au fost introduse noi tehnologii;</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la reluarea activității după producerea unui eveniment negativ (incendiu, explozie, calamitate naturală, avarie);</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când au apărut modificări ale legislației specifice domeniului apărării împotriva incendiilor sau conexe acesteia.</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și graficele anuale de instruire vor fi anexate la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 schimb</w:t>
      </w:r>
      <w:r>
        <w:rPr>
          <w:rFonts w:eastAsia="Arial" w:cs="Arial" w:ascii="Arial" w:hAnsi="Arial"/>
          <w:color w:val="auto"/>
          <w:spacing w:val="0"/>
          <w:w w:val="100"/>
          <w:sz w:val="20"/>
          <w:szCs w:val="20"/>
          <w:lang w:val="ro-RO"/>
        </w:rPr>
        <w:t>:</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 schimb va fi de minimum 15 minute.</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Categoriile de personal care vor efectua instructajul pe schimb se nominalizează de fiecare conducător de loc de muncă care necesită acest tip de instructaj.</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 schimb se face obligatoriu la locurile cu risc foarte mare de incendiu și opțional la locurile cu risc mare de incendiu.</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de instruire pentru instructajul pe schimb va cuprinde cel puțin atenționarea salariaților din tura de serviciu asupra principalelor reguli și măsuri de PSI, care trebuie urmărite ținându-se seama de constatările din tura anterioară, precum și de operațiunile sau lucrările care se execută pe timpul schimbului respectiv.</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special pentru lucrări periculoase</w:t>
      </w:r>
      <w:r>
        <w:rPr>
          <w:rFonts w:eastAsia="Arial" w:cs="Arial" w:ascii="Arial" w:hAnsi="Arial"/>
          <w:color w:val="auto"/>
          <w:spacing w:val="0"/>
          <w:w w:val="100"/>
          <w:sz w:val="20"/>
          <w:szCs w:val="20"/>
          <w:lang w:val="ro-RO"/>
        </w:rPr>
        <w:t>:</w:t>
      </w:r>
    </w:p>
    <w:p>
      <w:pPr>
        <w:pStyle w:val="HTMLPreformatted"/>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special pentru lucrări periculoase va fi de minimum 15 minute.</w:t>
      </w:r>
    </w:p>
    <w:p>
      <w:pPr>
        <w:pStyle w:val="HTMLPreformatted"/>
        <w:keepNext/>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se execută la următoarele tipuri de lucrări: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sudare;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tăiere sau lipire cu flacără;</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mecanice;</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și arcuri electrice sau scurtcircuite;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topire a bitumului sau asfaltului;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curățare prin ardere a unor utilaje, aparate, conducte tehnologice sau conductoare electrice;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pentru distrugerea prin ardere a unor deșeuri sau reziduuri nerecuperabile sau neutilizabile;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la care se utilizează foc deschis (dezghețări, decongelări, aprinderea cuptoarelor tehnologice, cazanelor etc.);</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punerea ori repunerea în funcțiune a instalațiilor și utilajelor tehnologice care prezintă risc foarte mare de incendiu sau oprirea acestora;</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aplicarea unor materiale de protecție din care se pot degaja cu ușurință vapori și gaze inflamabile sau explozive;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curățarea interioară a unor vase, rezervoare, recipiente sau sisteme de evacuare în care au fost stocate, prelucrate sau vehiculate produse combustibile etc.;</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prelevarea de probe din recipiente sau instalații care conțin substanțe periculoase.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la conversia profesiona</w:t>
      </w:r>
      <w:r>
        <w:rPr>
          <w:rFonts w:eastAsia="Arial" w:cs="Arial" w:ascii="Arial" w:hAnsi="Arial"/>
          <w:color w:val="auto"/>
          <w:spacing w:val="0"/>
          <w:w w:val="100"/>
          <w:sz w:val="20"/>
          <w:szCs w:val="20"/>
          <w:lang w:val="ro-RO"/>
        </w:rPr>
        <w:t>lă:</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același loc de muncă se vor prelucra numai unele aspecte din cadrul instructajului specific locului de muncă care se consideră necesare noilor sarcini.</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alt loc de muncă din cadrul aceluiași agent economic sau al aceleiași instituții, se vor respecta prevederile instructajului specific locului de muncă.</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cadrul altui agent economic sau al unei instituții, acestea se consideră nou angajate și vor parcurge categoriile de instructaje prevăzute în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pentru personalul din afara unității</w:t>
      </w:r>
      <w:r>
        <w:rPr>
          <w:rFonts w:eastAsia="Arial" w:cs="Arial" w:ascii="Arial" w:hAnsi="Arial"/>
          <w:color w:val="auto"/>
          <w:spacing w:val="0"/>
          <w:w w:val="100"/>
          <w:sz w:val="20"/>
          <w:szCs w:val="20"/>
          <w:lang w:val="ro-RO"/>
        </w:rPr>
        <w:t>:</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pentru personalul din afara unității va fi de minimum 15 minute.</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Persoanele care participă sunt:</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construcții-montaj și instalații;</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reparații, revizii, întreținere și de service;</w:t>
      </w:r>
    </w:p>
    <w:p>
      <w:pPr>
        <w:pStyle w:val="HTMLPreformatted"/>
        <w:widowControl/>
        <w:numPr>
          <w:ilvl w:val="0"/>
          <w:numId w:val="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conducătorii auto ai mijloacelor de transport pentru materiale periculoase;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de pază aparținând altor societăți comerciale sau firme specializate;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vizitatori în grup de minimum 5 persoane.</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personalul din afara agentului economic se efectuează, de regulă, de personalul tehnic cu atribuții în domeniul prevenirii și stingerii incendiilor, de șeful serviciului de situații de urgență sau de conducătorul locului de muncă în care este prevăzut un asemenea instructaj.</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instructajului pentru personalul din afara unității va cuprinde cel puțin următoarele:</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specifice instructajului introductiv general pentru categoriile de persoane prevăzute la Art. 3, litera A, punctul 2, litera a) și b);</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din cadrul instructajului specific locului de muncă pentru persoanele prevăzute la Art. 3, litera A, punctul 2, litera c) și d);</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unei proceduri special întocmite asupra principalelor reguli de prevenire a incendiilor pe care persoanele instruite trebuie să le respecte și atenționarea acestora asupra unor pericole existente în anumite locuri de pe traseul parcurs;</w:t>
      </w:r>
    </w:p>
    <w:p>
      <w:pPr>
        <w:pStyle w:val="HTMLPreformatted"/>
        <w:widowControl/>
        <w:numPr>
          <w:ilvl w:val="0"/>
          <w:numId w:val="1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consemnarea efectuării instructajului se face într-un proces-verbal întocmit în acest scop, care să conțină problematica prezentată, însoțit de tabele cuprinzând numele, prenumele și semnătura persoanelor instruite.</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Înregistrarea și confirmarea instructajului:</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Fișa individuală de instructaj în domeniul situațiilor de urgență va fi utilizată pentru:</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introductiv general;</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locul de muncă;</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periodic;</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conversia profesională.</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Registrul de predare-primire a schimbului va fi utilizat pentru:</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 schimb;</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(după caz).</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Procesele-verbale de instruire vor fi utilizate pentru:</w:t>
      </w:r>
    </w:p>
    <w:p>
      <w:pPr>
        <w:pStyle w:val="HTMLPreformatted"/>
        <w:widowControl/>
        <w:numPr>
          <w:ilvl w:val="0"/>
          <w:numId w:val="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persoanele din afara unității;</w:t>
      </w:r>
    </w:p>
    <w:p>
      <w:pPr>
        <w:pStyle w:val="HTMLPreformatted"/>
        <w:widowControl/>
        <w:numPr>
          <w:ilvl w:val="0"/>
          <w:numId w:val="3"/>
        </w:numPr>
        <w:tabs>
          <w:tab w:val="clear" w:pos="916"/>
        </w:tabs>
        <w:spacing w:before="0" w:after="12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Prezența salariaților la instructaj va fi asigurată de conducerea unității.</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Prezenta decizie anulează orice decizie anterioară cu privire la efectuarea instructajelor privind situațiile de urgență.</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Conform contractului de prestări servicii, activitatea de instruire este coordonată de {{fireS</w:t>
      </w:r>
      <w:r>
        <w:rPr>
          <w:rFonts w:eastAsia="Arial" w:cs="Arial" w:ascii="Arial" w:hAnsi="Arial"/>
          <w:color w:val="auto"/>
          <w:spacing w:val="0"/>
          <w:w w:val="100"/>
          <w:sz w:val="20"/>
          <w:szCs w:val="20"/>
          <w:lang w:val="ro-RO"/>
        </w:rPr>
        <w:t>afetyTechnician.name</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cadru tehn</w:t>
      </w:r>
      <w:r>
        <w:rPr>
          <w:rFonts w:eastAsia="Arial" w:cs="Arial" w:ascii="Arial" w:hAnsi="Arial"/>
          <w:color w:val="auto"/>
          <w:spacing w:val="0"/>
          <w:w w:val="100"/>
          <w:sz w:val="20"/>
          <w:szCs w:val="20"/>
          <w:lang w:val="ro-RO"/>
        </w:rPr>
        <w:t>ic cu atribuții în domeniul apărării împotriva incendiilor, reprezentant al {{provider.legalName}}, împreună cu {{fire.</w:t>
      </w:r>
      <w:r>
        <w:rPr>
          <w:rFonts w:eastAsia="Arial" w:cs="Arial" w:ascii="Arial" w:hAnsi="Arial"/>
          <w:color w:val="auto"/>
          <w:spacing w:val="0"/>
          <w:w w:val="100"/>
          <w:sz w:val="20"/>
          <w:szCs w:val="20"/>
          <w:lang w:val="ro-RO"/>
        </w:rPr>
        <w:t>coor</w:t>
      </w:r>
      <w:r>
        <w:rPr>
          <w:rFonts w:eastAsia="Arial" w:cs="Arial" w:ascii="Arial" w:hAnsi="Arial"/>
          <w:color w:val="auto"/>
          <w:spacing w:val="0"/>
          <w:w w:val="100"/>
          <w:sz w:val="20"/>
          <w:szCs w:val="20"/>
          <w:lang w:val="ro-RO"/>
        </w:rPr>
        <w:t>dinator.name}}, avân</w:t>
      </w:r>
      <w:r>
        <w:rPr>
          <w:rFonts w:eastAsia="Arial" w:cs="Arial" w:ascii="Arial" w:hAnsi="Arial"/>
          <w:color w:val="auto"/>
          <w:spacing w:val="0"/>
          <w:w w:val="100"/>
          <w:sz w:val="20"/>
          <w:szCs w:val="20"/>
          <w:lang w:val="ro-RO"/>
        </w:rPr>
        <w:t>d funcția de {{fir</w:t>
      </w:r>
      <w:r>
        <w:rPr>
          <w:rFonts w:eastAsia="Arial" w:cs="Arial" w:ascii="Arial" w:hAnsi="Arial"/>
          <w:color w:val="auto"/>
          <w:spacing w:val="0"/>
          <w:w w:val="100"/>
          <w:sz w:val="20"/>
          <w:szCs w:val="20"/>
          <w:lang w:val="ro-RO"/>
        </w:rPr>
        <w:t>e.coordinator.j</w:t>
      </w:r>
      <w:r>
        <w:rPr>
          <w:rFonts w:eastAsia="Arial" w:cs="Arial" w:ascii="Arial" w:hAnsi="Arial"/>
          <w:color w:val="auto"/>
          <w:spacing w:val="0"/>
          <w:w w:val="100"/>
          <w:sz w:val="20"/>
          <w:szCs w:val="20"/>
          <w:lang w:val="ro-RO"/>
        </w:rPr>
        <w:t>obTitleRunOn}} î</w:t>
      </w:r>
      <w:r>
        <w:rPr>
          <w:rStyle w:val="PageNumber"/>
          <w:rFonts w:eastAsia="Arial" w:cs="Arial" w:ascii="Arial" w:hAnsi="Arial"/>
          <w:color w:val="auto"/>
          <w:spacing w:val="0"/>
          <w:w w:val="100"/>
          <w:sz w:val="20"/>
          <w:szCs w:val="20"/>
          <w:lang w:val="ro-RO"/>
        </w:rPr>
        <w:t>n cadrul {{clien</w:t>
      </w:r>
      <w:r>
        <w:rPr>
          <w:rFonts w:eastAsia="Arial" w:cs="Arial" w:ascii="Arial" w:hAnsi="Arial"/>
          <w:color w:val="auto"/>
          <w:spacing w:val="0"/>
          <w:w w:val="100"/>
          <w:sz w:val="20"/>
          <w:szCs w:val="20"/>
          <w:lang w:val="ro-RO"/>
        </w:rPr>
        <w:t>t.legalName}}.</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Pentru a se asigura executarea instructajelor, părți</w:t>
      </w:r>
      <w:r>
        <w:rPr>
          <w:rFonts w:eastAsia="Arial" w:cs="Arial" w:ascii="Arial" w:hAnsi="Arial"/>
          <w:color w:val="auto"/>
          <w:spacing w:val="0"/>
          <w:w w:val="100"/>
          <w:sz w:val="20"/>
          <w:szCs w:val="20"/>
          <w:lang w:val="ro-RO"/>
        </w:rPr>
        <w:t>le vor colabora cu c</w:t>
      </w:r>
      <w:r>
        <w:rPr>
          <w:rFonts w:eastAsia="Arial" w:cs="Arial" w:ascii="Arial" w:hAnsi="Arial"/>
          <w:color w:val="auto"/>
          <w:spacing w:val="0"/>
          <w:w w:val="100"/>
          <w:sz w:val="20"/>
          <w:szCs w:val="20"/>
          <w:lang w:val="ro-RO"/>
        </w:rPr>
        <w:t>el</w:t>
      </w:r>
      <w:r>
        <w:rPr>
          <w:rFonts w:eastAsia="Arial" w:cs="Arial" w:ascii="Arial" w:hAnsi="Arial"/>
          <w:color w:val="auto"/>
          <w:spacing w:val="0"/>
          <w:w w:val="100"/>
          <w:sz w:val="20"/>
          <w:szCs w:val="20"/>
          <w:lang w:val="ro-RO"/>
        </w:rPr>
        <w:t xml:space="preserve"> puțin 72 de</w:t>
      </w:r>
      <w:r>
        <w:rPr>
          <w:rFonts w:eastAsia="Arial" w:cs="Arial" w:ascii="Arial" w:hAnsi="Arial"/>
          <w:color w:val="auto"/>
          <w:spacing w:val="0"/>
          <w:w w:val="100"/>
          <w:sz w:val="20"/>
          <w:szCs w:val="20"/>
          <w:lang w:val="ro-RO"/>
        </w:rPr>
        <w:t xml:space="preserve"> ore înainte, prin {{fireSafetyTechnician.name}}, cadru tehnic cu atribuții în domeniul apărării împotriva incendiilor, reprezentant al {{provider.legalName}}, și {{f</w:t>
      </w:r>
      <w:r>
        <w:rPr>
          <w:rFonts w:eastAsia="Arial" w:cs="Arial" w:ascii="Arial" w:hAnsi="Arial"/>
          <w:color w:val="auto"/>
          <w:spacing w:val="0"/>
          <w:w w:val="100"/>
          <w:sz w:val="20"/>
          <w:szCs w:val="20"/>
          <w:lang w:val="ro-RO"/>
        </w:rPr>
        <w:t>ire.</w:t>
      </w:r>
      <w:r>
        <w:rPr>
          <w:rFonts w:eastAsia="Arial" w:cs="Arial" w:ascii="Arial" w:hAnsi="Arial"/>
          <w:color w:val="auto"/>
          <w:spacing w:val="0"/>
          <w:w w:val="100"/>
          <w:sz w:val="20"/>
          <w:szCs w:val="20"/>
          <w:lang w:val="ro-RO"/>
        </w:rPr>
        <w:t xml:space="preserve">coordinator.name}}, </w:t>
      </w:r>
      <w:r>
        <w:rPr>
          <w:rFonts w:eastAsia="Arial" w:cs="Arial" w:ascii="Arial" w:hAnsi="Arial"/>
          <w:color w:val="auto"/>
          <w:spacing w:val="0"/>
          <w:w w:val="100"/>
          <w:sz w:val="20"/>
          <w:szCs w:val="20"/>
          <w:lang w:val="ro-RO"/>
        </w:rPr>
        <w:t>având funcția de {</w:t>
      </w:r>
      <w:r>
        <w:rPr>
          <w:rFonts w:eastAsia="Arial" w:cs="Arial" w:ascii="Arial" w:hAnsi="Arial"/>
          <w:color w:val="auto"/>
          <w:spacing w:val="0"/>
          <w:w w:val="100"/>
          <w:sz w:val="20"/>
          <w:szCs w:val="20"/>
          <w:lang w:val="ro-RO"/>
        </w:rPr>
        <w:t>{fire.coordinat</w:t>
      </w:r>
      <w:r>
        <w:rPr>
          <w:rFonts w:eastAsia="Arial" w:cs="Arial" w:ascii="Arial" w:hAnsi="Arial"/>
          <w:color w:val="auto"/>
          <w:spacing w:val="0"/>
          <w:w w:val="100"/>
          <w:sz w:val="20"/>
          <w:szCs w:val="20"/>
          <w:lang w:val="ro-RO"/>
        </w:rPr>
        <w:t>or.jobTitleRunOn</w:t>
      </w:r>
      <w:r>
        <w:rPr>
          <w:rStyle w:val="PageNumber"/>
          <w:rFonts w:eastAsia="Arial" w:cs="Arial" w:ascii="Arial" w:hAnsi="Arial"/>
          <w:color w:val="auto"/>
          <w:spacing w:val="0"/>
          <w:w w:val="100"/>
          <w:sz w:val="20"/>
          <w:szCs w:val="20"/>
          <w:lang w:val="ro-RO"/>
        </w:rPr>
        <w:t>}} în cadrul {{c</w:t>
      </w:r>
      <w:r>
        <w:rPr>
          <w:rFonts w:eastAsia="Arial" w:cs="Arial" w:ascii="Arial" w:hAnsi="Arial"/>
          <w:color w:val="auto"/>
          <w:spacing w:val="0"/>
          <w:w w:val="100"/>
          <w:sz w:val="20"/>
          <w:szCs w:val="20"/>
          <w:lang w:val="ro-RO"/>
        </w:rPr>
        <w:t>lient.legalName}}, stabilind data și locul unde se efectuează instructajul introductiv general.</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La data și la locul de desfășurare a instructajului, beneficiarul, prin persoanele desemnate, asigură datele de personal și imprimatele necesare.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Personalul din cadrul administrației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prin {{fire.coordi</w:t>
      </w:r>
      <w:r>
        <w:rPr>
          <w:rFonts w:eastAsia="Arial" w:cs="Arial" w:ascii="Arial" w:hAnsi="Arial"/>
          <w:color w:val="auto"/>
          <w:spacing w:val="0"/>
          <w:w w:val="100"/>
          <w:sz w:val="20"/>
          <w:szCs w:val="20"/>
          <w:lang w:val="ro-RO"/>
        </w:rPr>
        <w:t xml:space="preserve">nator.name}}, având </w:t>
      </w:r>
      <w:r>
        <w:rPr>
          <w:rFonts w:eastAsia="Arial" w:cs="Arial" w:ascii="Arial" w:hAnsi="Arial"/>
          <w:color w:val="auto"/>
          <w:spacing w:val="0"/>
          <w:w w:val="100"/>
          <w:sz w:val="20"/>
          <w:szCs w:val="20"/>
          <w:lang w:val="ro-RO"/>
        </w:rPr>
        <w:t>funcția de {{fire.</w:t>
      </w:r>
      <w:r>
        <w:rPr>
          <w:rFonts w:eastAsia="Arial" w:cs="Arial" w:ascii="Arial" w:hAnsi="Arial"/>
          <w:color w:val="auto"/>
          <w:spacing w:val="0"/>
          <w:w w:val="100"/>
          <w:sz w:val="20"/>
          <w:szCs w:val="20"/>
          <w:lang w:val="ro-RO"/>
        </w:rPr>
        <w:t>coordinator.job</w:t>
      </w:r>
      <w:r>
        <w:rPr>
          <w:rFonts w:eastAsia="Arial" w:cs="Arial" w:ascii="Arial" w:hAnsi="Arial"/>
          <w:color w:val="auto"/>
          <w:spacing w:val="0"/>
          <w:w w:val="100"/>
          <w:sz w:val="20"/>
          <w:szCs w:val="20"/>
          <w:lang w:val="ro-RO"/>
        </w:rPr>
        <w:t xml:space="preserve">TitleRunOn}} în </w:t>
      </w:r>
      <w:r>
        <w:rPr>
          <w:rStyle w:val="PageNumber"/>
          <w:rFonts w:eastAsia="Arial" w:cs="Arial" w:ascii="Arial" w:hAnsi="Arial"/>
          <w:color w:val="auto"/>
          <w:spacing w:val="0"/>
          <w:w w:val="100"/>
          <w:sz w:val="20"/>
          <w:szCs w:val="20"/>
          <w:lang w:val="ro-RO"/>
        </w:rPr>
        <w:t>cadrul {{client.</w:t>
      </w:r>
      <w:r>
        <w:rPr>
          <w:rFonts w:eastAsia="Arial" w:cs="Arial" w:ascii="Arial" w:hAnsi="Arial"/>
          <w:color w:val="auto"/>
          <w:spacing w:val="0"/>
          <w:w w:val="100"/>
          <w:sz w:val="20"/>
          <w:szCs w:val="20"/>
          <w:lang w:val="ro-RO"/>
        </w:rPr>
        <w:t>legalName}}, va oferi informațiile privind modificările organizatorice și de personal din cadrul unității, ori de câte ori acestea apar.</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Fișele de instruire se întocmesc conform modelului prevăzut de OMAI 712/2005 – art. 46.</w:t>
      </w:r>
    </w:p>
    <w:p>
      <w:pPr>
        <w:pStyle w:val="HTMLPreformatted"/>
        <w:keepNext/>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Conducătorii locurilor de muncă din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au următoarele răspunderi, conform OMAI 712/2005 – art. 48 și art. 50:</w:t>
      </w:r>
    </w:p>
    <w:p>
      <w:pPr>
        <w:pStyle w:val="Normal"/>
        <w:widowControl/>
        <w:numPr>
          <w:ilvl w:val="0"/>
          <w:numId w:val="6"/>
        </w:numPr>
        <w:tabs>
          <w:tab w:val="clear" w:pos="708"/>
        </w:tabs>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semneze fișele de instruire după ce au efectuat instruirea și să verifice existența semnăturilor (semnătura celui instruit, semnătura celui care a efectuat instruirea, semnătura celui care a verificat);</w:t>
      </w:r>
    </w:p>
    <w:p>
      <w:pPr>
        <w:pStyle w:val="Normal"/>
        <w:widowControl/>
        <w:numPr>
          <w:ilvl w:val="0"/>
          <w:numId w:val="6"/>
        </w:numPr>
        <w:tabs>
          <w:tab w:val="clear" w:pos="708"/>
        </w:tabs>
        <w:spacing w:before="0" w:after="12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păstreze fișele individuale de instructaj în domeniul situațiilor de urgență pentru personalul din subordine.</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Activitatea de instruire în domeniul apărării împotriva incendiilor în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este obligație de serviciu.</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Prezenta decizie a {{client</w:t>
      </w:r>
      <w:r>
        <w:rPr>
          <w:rStyle w:val="PageNumber"/>
          <w:rFonts w:eastAsia="Arial" w:cs="Arial" w:ascii="Arial" w:hAnsi="Arial"/>
          <w:color w:val="auto"/>
          <w:spacing w:val="0"/>
          <w:w w:val="100"/>
          <w:sz w:val="20"/>
          <w:szCs w:val="20"/>
          <w:lang w:val="ro-RO"/>
        </w:rPr>
        <w:t xml:space="preserve">.legalName}} se </w:t>
      </w:r>
      <w:r>
        <w:rPr>
          <w:rFonts w:eastAsia="Arial" w:cs="Arial" w:ascii="Arial" w:hAnsi="Arial"/>
          <w:color w:val="auto"/>
          <w:spacing w:val="0"/>
          <w:w w:val="100"/>
          <w:sz w:val="20"/>
          <w:szCs w:val="20"/>
          <w:lang w:val="ro-RO"/>
        </w:rPr>
        <w:t>aduce la cunoștința persoanelor nominalizate în aceasta.</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decizie se va actualiza ori de câte ori apar modificări în structura organizatorică sau de personal a {{client</w:t>
      </w:r>
      <w:r>
        <w:rPr>
          <w:rStyle w:val="PageNumber"/>
          <w:rFonts w:eastAsia="Arial" w:cs="Arial" w:ascii="Arial" w:hAnsi="Arial"/>
          <w:color w:val="auto"/>
          <w:spacing w:val="0"/>
          <w:w w:val="100"/>
          <w:sz w:val="20"/>
          <w:szCs w:val="20"/>
          <w:lang w:val="ro-RO"/>
        </w:rPr>
        <w:t>.legalName}}.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PROCES-VERBAL DE LUARE DE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xml:space="preserve"> nr. {{fire.deci</w:t>
      </w:r>
      <w:r>
        <w:rPr>
          <w:rFonts w:eastAsia="Arial" w:cs="Arial" w:ascii="Arial" w:hAnsi="Arial"/>
          <w:color w:val="auto"/>
          <w:spacing w:val="0"/>
          <w:w w:val="100"/>
          <w:sz w:val="20"/>
          <w:szCs w:val="20"/>
          <w:lang w:val="ro-RO"/>
        </w:rPr>
        <w:t>sionNumbers.training}}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HTMLPreformatted"/>
        <w:widowControl/>
        <w:spacing w:before="0" w:after="0"/>
        <w:ind w:hanging="0"/>
        <w:jc w:val="left"/>
        <w:rPr>
          <w:rFonts w:ascii="Arial" w:hAnsi="Arial" w:cs="Arial"/>
          <w:sz w:val="2"/>
          <w:lang w:val="it-CH"/>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swiss"/>
    <w:pitch w:val="default"/>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upp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800"/>
        </w:tabs>
        <w:ind w:left="180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rPr>
        <w:b/>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decimal"/>
      <w:lvlText w:val="%1."/>
      <w:lvlJc w:val="left"/>
      <w:pPr>
        <w:tabs>
          <w:tab w:val="num" w:pos="720"/>
        </w:tabs>
        <w:ind w:left="720" w:hanging="360"/>
      </w:pPr>
      <w:rPr>
        <w:b/>
      </w:rPr>
    </w:lvl>
    <w:lvl w:ilvl="1">
      <w:start w:val="1"/>
      <w:numFmt w:val="upp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6">
    <w:lvl w:ilvl="0">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low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rFonts w:ascii="Arial" w:hAnsi="Arial" w:eastAsia="Times New Roman" w:cs="Arial"/>
        <w:b/>
      </w:rPr>
    </w:lvl>
    <w:lvl w:ilvl="2">
      <w:start w:val="1"/>
      <w:numFmt w:val="lowerLetter"/>
      <w:lvlText w:val="%3)"/>
      <w:lvlJc w:val="left"/>
      <w:pPr>
        <w:tabs>
          <w:tab w:val="num" w:pos="1080"/>
        </w:tabs>
        <w:ind w:left="1080" w:hanging="360"/>
      </w:pPr>
      <w:rPr>
        <w:b/>
        <w:bCs/>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22">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4">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800"/>
        </w:tabs>
        <w:ind w:left="180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spacing w:lineRule="auto" w:line="360"/>
      <w:ind w:firstLine="708" w:left="5664" w:right="0"/>
      <w:jc w:val="both"/>
      <w:outlineLvl w:val="3"/>
    </w:pPr>
    <w:rPr>
      <w:b/>
      <w:bCs/>
      <w:sz w:val="28"/>
    </w:rPr>
  </w:style>
  <w:style w:type="paragraph" w:styleId="Heading5">
    <w:name w:val="heading 5"/>
    <w:basedOn w:val="Normal"/>
    <w:next w:val="Normal"/>
    <w:pPr>
      <w:keepNext w:val="true"/>
      <w:numPr>
        <w:ilvl w:val="4"/>
        <w:numId w:val="1"/>
      </w:numPr>
      <w:jc w:val="center"/>
      <w:outlineLvl w:val="4"/>
    </w:pPr>
    <w:rPr>
      <w:b/>
      <w:bCs/>
      <w:sz w:val="32"/>
      <w:u w:val="single"/>
    </w:rPr>
  </w:style>
  <w:style w:type="paragraph" w:styleId="Heading6">
    <w:name w:val="heading 6"/>
    <w:basedOn w:val="Normal"/>
    <w:next w:val="Normal"/>
    <w:pPr>
      <w:keepNext w:val="true"/>
      <w:numPr>
        <w:ilvl w:val="5"/>
        <w:numId w:val="1"/>
      </w:numPr>
      <w:ind w:firstLine="708" w:left="3540" w:right="0"/>
      <w:jc w:val="both"/>
      <w:outlineLvl w:val="5"/>
    </w:pPr>
    <w:rPr>
      <w:b/>
      <w:bCs/>
      <w:color w:val="FF0000"/>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sz w:val="20"/>
      <w:szCs w:val="20"/>
    </w:rPr>
  </w:style>
  <w:style w:type="character" w:styleId="WW8Num2z0">
    <w:name w:val="WW8Num2z0"/>
    <w:rPr>
      <w:rFonts w:ascii="Times New Roman" w:hAnsi="Times New Roman" w:eastAsia="Times New Roman" w:cs="Times New Roman"/>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rFonts w:ascii="Times New Roman" w:hAnsi="Times New Roman" w:eastAsia="Times New Roman" w:cs="Times New Roman"/>
    </w:rPr>
  </w:style>
  <w:style w:type="character" w:styleId="WW8Num4z1">
    <w:name w:val="WW8Num4z1"/>
    <w:rPr>
      <w:rFonts w:ascii="Courier New" w:hAnsi="Courier New" w:cs="Courier New"/>
    </w:rPr>
  </w:style>
  <w:style w:type="character" w:styleId="WW8Num4z2">
    <w:name w:val="WW8Num4z2"/>
    <w:rPr>
      <w:rFonts w:ascii="Wingdings" w:hAnsi="Wingdings" w:cs="Wingdings"/>
    </w:rPr>
  </w:style>
  <w:style w:type="character" w:styleId="WW8Num4z3">
    <w:name w:val="WW8Num4z3"/>
    <w:rPr>
      <w:rFonts w:ascii="Symbol" w:hAnsi="Symbol" w:cs="Symbol"/>
    </w:rPr>
  </w:style>
  <w:style w:type="character" w:styleId="WW8Num5z0">
    <w:name w:val="WW8Num5z0"/>
    <w:rPr>
      <w:rFonts w:ascii="Arial" w:hAnsi="Arial" w:eastAsia="Times New Roman" w:cs="Arial"/>
      <w:b/>
    </w:rPr>
  </w:style>
  <w:style w:type="character" w:styleId="WW8Num7z0">
    <w:name w:val="WW8Num7z0"/>
    <w:rPr>
      <w:rFonts w:ascii="Arial" w:hAnsi="Arial" w:eastAsia="Times New Roman" w:cs="Arial"/>
    </w:rPr>
  </w:style>
  <w:style w:type="character" w:styleId="WW8Num7z1">
    <w:name w:val="WW8Num7z1"/>
    <w:rPr>
      <w:b/>
      <w:bCs/>
    </w:rPr>
  </w:style>
  <w:style w:type="character" w:styleId="WW8Num7z2">
    <w:name w:val="WW8Num7z2"/>
    <w:rPr>
      <w:rFonts w:ascii="Times New Roman" w:hAnsi="Times New Roman" w:cs="Times New Roman"/>
      <w:b/>
      <w:i w:val="false"/>
      <w:sz w:val="18"/>
      <w:szCs w:val="18"/>
    </w:rPr>
  </w:style>
  <w:style w:type="character" w:styleId="WW8Num7z3">
    <w:name w:val="WW8Num7z3"/>
    <w:rPr>
      <w:rFonts w:ascii="Symbol" w:hAnsi="Symbol" w:cs="Symbol"/>
    </w:rPr>
  </w:style>
  <w:style w:type="character" w:styleId="WW8Num7z4">
    <w:name w:val="WW8Num7z4"/>
    <w:rPr>
      <w:rFonts w:ascii="Courier New" w:hAnsi="Courier New" w:cs="Courier New"/>
    </w:rPr>
  </w:style>
  <w:style w:type="character" w:styleId="WW8Num7z5">
    <w:name w:val="WW8Num7z5"/>
    <w:rPr>
      <w:rFonts w:ascii="Wingdings" w:hAnsi="Wingdings" w:cs="Wingdings"/>
    </w:rPr>
  </w:style>
  <w:style w:type="character" w:styleId="WW8Num8z0">
    <w:name w:val="WW8Num8z0"/>
    <w:rPr>
      <w:b/>
    </w:rPr>
  </w:style>
  <w:style w:type="character" w:styleId="WW8Num9z0">
    <w:name w:val="WW8Num9z0"/>
    <w:rPr>
      <w:b/>
    </w:rPr>
  </w:style>
  <w:style w:type="character" w:styleId="WW8Num10z0">
    <w:name w:val="WW8Num10z0"/>
    <w:rPr>
      <w:rFonts w:ascii="Arial" w:hAnsi="Arial" w:eastAsia="Times New Roman" w:cs="Arial"/>
      <w:b/>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Times New Roman" w:hAnsi="Times New Roman" w:eastAsia="Times New Roman" w:cs="Times New Roman"/>
    </w:rPr>
  </w:style>
  <w:style w:type="character" w:styleId="WW8Num11z1">
    <w:name w:val="WW8Num11z1"/>
    <w:rPr>
      <w:rFonts w:ascii="Courier New" w:hAnsi="Courier New" w:cs="Courier New"/>
    </w:rPr>
  </w:style>
  <w:style w:type="character" w:styleId="WW8Num11z2">
    <w:name w:val="WW8Num11z2"/>
    <w:rPr>
      <w:rFonts w:ascii="Wingdings" w:hAnsi="Wingdings" w:cs="Wingdings"/>
    </w:rPr>
  </w:style>
  <w:style w:type="character" w:styleId="WW8Num11z3">
    <w:name w:val="WW8Num11z3"/>
    <w:rPr>
      <w:rFonts w:ascii="Symbol" w:hAnsi="Symbol" w:cs="Symbol"/>
    </w:rPr>
  </w:style>
  <w:style w:type="character" w:styleId="WW8Num12z0">
    <w:name w:val="WW8Num12z0"/>
    <w:rPr>
      <w:rFonts w:ascii="Arial" w:hAnsi="Arial" w:eastAsia="Times New Roman" w:cs="Arial"/>
    </w:rPr>
  </w:style>
  <w:style w:type="character" w:styleId="WW8Num12z1">
    <w:name w:val="WW8Num12z1"/>
    <w:rPr>
      <w:b/>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2z4">
    <w:name w:val="WW8Num12z4"/>
    <w:rPr>
      <w:rFonts w:ascii="Courier New" w:hAnsi="Courier New" w:cs="Courier New"/>
    </w:rPr>
  </w:style>
  <w:style w:type="character" w:styleId="WW8Num13z0">
    <w:name w:val="WW8Num13z0"/>
    <w:rPr>
      <w:b/>
    </w:rPr>
  </w:style>
  <w:style w:type="character" w:styleId="WW8Num14z0">
    <w:name w:val="WW8Num14z0"/>
    <w:rPr>
      <w:b/>
    </w:rPr>
  </w:style>
  <w:style w:type="character" w:styleId="WW8Num15z0">
    <w:name w:val="WW8Num15z0"/>
    <w:rPr>
      <w:rFonts w:ascii="Arial" w:hAnsi="Arial" w:eastAsia="Times New Roman" w:cs="Arial"/>
    </w:rPr>
  </w:style>
  <w:style w:type="character" w:styleId="WW8Num15z1">
    <w:name w:val="WW8Num15z1"/>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5z4">
    <w:name w:val="WW8Num15z4"/>
    <w:rPr>
      <w:rFonts w:ascii="Courier New" w:hAnsi="Courier New" w:cs="Courier New"/>
    </w:rPr>
  </w:style>
  <w:style w:type="character" w:styleId="WW8Num16z0">
    <w:name w:val="WW8Num16z0"/>
    <w:rPr>
      <w:b/>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bCs/>
    </w:rPr>
  </w:style>
  <w:style w:type="character" w:styleId="WW8Num20z1">
    <w:name w:val="WW8Num20z1"/>
    <w:rPr>
      <w:rFonts w:ascii="Arial" w:hAnsi="Arial" w:eastAsia="Times New Roman" w:cs="Arial"/>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pa1">
    <w:name w:val="tpa1"/>
    <w:basedOn w:val="DefaultParagraphFont"/>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odyText2">
    <w:name w:val="Body Text 2"/>
    <w:basedOn w:val="Normal"/>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LibreOffice/26.8.0.3$Linux_AARCH64 LibreOffice_project/680$Build-3</Application>
  <AppVersion>15.0000</AppVersion>
  <Pages>5</Pages>
  <Words>2497</Words>
  <Characters>16416</Characters>
  <CharactersWithSpaces>18645</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2024-03-04T10:02:00Z</dcterms:created>
  <dc:creator/>
  <dc:description/>
  <dc:language>ro-RO</dc:language>
  <cp:lastModifiedBy/>
  <cp:lastPrinted>2024-03-04T15:31:00Z</cp:lastPrinted>
  <dcterms:modified xsi:type="dcterms:W3CDTF">2026-10-10T18:50:34Z</dcterms:modified>
  <cp:revision>7</cp:revision>
  <dc:subject/>
  <dc:title/>
</cp:coreProperties>
</file>