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sz w:val="20"/>
          <w:szCs w:val="20"/>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ecisionNumbers.instructions}} din {{issueDate}}</w:t>
      </w:r>
    </w:p>
    <w:p>
      <w:pPr>
        <w:pStyle w:val="Normal"/>
        <w:widowControl/>
        <w:spacing w:before="0" w:after="120"/>
        <w:ind w:hanging="0" w:right="0"/>
        <w:jc w:val="left"/>
        <w:rPr>
          <w:rFonts w:ascii="Arial" w:hAnsi="Arial" w:cs="Arial"/>
          <w:sz w:val="20"/>
          <w:szCs w:val="20"/>
        </w:rPr>
      </w:pPr>
      <w:r>
        <w:rPr>
          <w:rFonts w:eastAsia="Arial" w:cs="Arial" w:ascii="Arial" w:hAnsi="Arial"/>
          <w:color w:val="auto"/>
          <w:spacing w:val="0"/>
          <w:w w:val="100"/>
          <w:sz w:val="20"/>
          <w:szCs w:val="20"/>
          <w:lang w:val="ro-RO"/>
        </w:rPr>
        <w:t>În baza prevederilor Legii 307/2006 – art. 19 alin. (1) lit. g) și art. 22 și ale OMAI 163/2007 – art. 17 lit. b), art. 23 lit. c) și art. 33–35, {{client.representativeName}}, în calitate de {{fire.representativeRoleRunOn}} în cadru</w:t>
      </w:r>
      <w:r>
        <w:rPr>
          <w:rFonts w:eastAsia="Arial" w:cs="Arial" w:ascii="Arial" w:hAnsi="Arial"/>
          <w:color w:val="auto"/>
          <w:spacing w:val="0"/>
          <w:w w:val="100"/>
          <w:sz w:val="20"/>
          <w:szCs w:val="20"/>
          <w:lang w:val="ro-RO"/>
        </w:rPr>
        <w:t xml:space="preserve">l {{client.legalName}}, </w:t>
      </w:r>
      <w:r>
        <w:rPr>
          <w:rFonts w:eastAsia="Arial" w:cs="Arial" w:ascii="Arial" w:hAnsi="Arial"/>
          <w:color w:val="auto"/>
          <w:spacing w:val="0"/>
          <w:w w:val="100"/>
          <w:sz w:val="20"/>
          <w:szCs w:val="20"/>
          <w:lang w:val="ro-RO"/>
        </w:rPr>
        <w:t>începând cu dat</w:t>
      </w:r>
      <w:r>
        <w:rPr>
          <w:rFonts w:eastAsia="Arial" w:cs="Arial" w:ascii="Arial" w:hAnsi="Arial"/>
          <w:color w:val="auto"/>
          <w:spacing w:val="0"/>
          <w:w w:val="100"/>
          <w:sz w:val="20"/>
          <w:szCs w:val="20"/>
          <w:lang w:val="ro-RO"/>
        </w:rPr>
        <w:t>a de {{issueD</w:t>
      </w:r>
      <w:r>
        <w:rPr>
          <w:rFonts w:eastAsia="Arial" w:cs="Arial" w:ascii="Arial" w:hAnsi="Arial"/>
          <w:color w:val="auto"/>
          <w:spacing w:val="0"/>
          <w:w w:val="100"/>
          <w:sz w:val="20"/>
          <w:szCs w:val="20"/>
          <w:lang w:val="ro-RO"/>
        </w:rPr>
        <w:t>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Normal"/>
        <w:keepNext/>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și atribuțiile salariaților la locurile de muncă, pe capitole, după cum urmează:</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 Instrucțiuni de apărare împotriva incendiilor</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stabilesc pentru următoarele locuri de muncă ale {{client.legalName}}: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{{#fire.workplaces}}</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{{name}} ({{activityRunOn}});</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{{/fire.workplaces}}</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cuprind următoarele: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prevederile specifice de apărare împotriva incendiilor din reglementările în vigoare;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obligațiile salariaților privind apărarea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regulile și măsurile specifice de apărare împotriva incendiilor pentru exploatarea instalațiilor potrivit condițiilor tehnice, tehnologice și organizatorice locale, precum și pentru reparații, revizii, întreținere, oprire și punere în funcțiune;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evidențierea elementelor care determină riscul de incendiu sau de explozie;</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prezentarea pericolelor care pot apărea în caz de incendiu, cum sunt intoxicările, arsurile, traumatismele, electrocutarea, iradierea etc., precum și a regulilor și măsurilor de prevenire a acestora.</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elaborează de șeful sectorului de activitate, instalație, secție, atelier, se verifică de cadrul tehnic sau de persoana desemnată să îndeplinească atribuții de apărare împotriva incendiilor și se aprobă de administrator/conducător.</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Șefii locurilor de muncă care elaborează instrucțiunile de apărare împotriva incendiilor sunt conducătorii locurilor de muncă desemnați prin Decizia nr. {{fire.decisionNumbers.organization}}:</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{{#fire.workplaceManagers}}</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{{name}}, având funcția de {{jobTitleRunOn}}, pentru {{#workplaceName}}locul de muncă {{workplaceName}}{{/workplaceName}}{{^workplaceName}}fiecare loc de muncă{{/workplaceName}};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{{/fire.workplaceManagers}}</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verifică de {{fireSafetyTechnician.name}}, cadru tehnic cu atribuții în domeniul apărării împotriva incendiilor, reprezentant al {{provider.legalName}}, și se aprobă de {{client.representativeName}}, în calitate de {{fire.representativeRoleRunOn}}.</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afișează la fiecare loc de muncă. Instrucțiunile fiecărui loc de muncă sunt cele din anexa prezentei decizii.</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Un exemplar al tuturor instrucțiunilor de apărare împotriva incendiilor se păstrează la cadrul tehnic sau la persoana desemnată să îndeplinească atribuții de apărare împotriva incendiilor.</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Salariații de la locurile de muncă pentru care s-au întocmit instrucțiunile de apărare împotriva incendiilor au obligația să le studieze, să le însușească și să le aplice.</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actualizează la modificări, modernizări, dezvoltări, reprofilări și la apariția unor noi reglementări.</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Fiecare instrucțiune de apărare împotriva incendiilor trebuie să aibă înscrisă data întocmirii/reviziei și data aprobării.</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II. Atribuțiile salariaților la locurile de muncă</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22) Fiecare salariat are, la locul de muncă, următoarele obligații principale: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respecte regulile și măsurile de apărare împotriva incendiilor, aduse la cunoștință, sub orice formă, de administrator sau de conducătorul instituției, după caz;</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utilizeze substanțele periculoase, instalațiile, utilajele, mașinile, aparatura și echipamentele, potrivit instrucțiunilor tehnice, precum și celor date de administrator sau de conducătorul instituției, după caz;</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nu efectueze manevre nepermise sau modificări neautorizate ale sistemelor și instalațiilor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acționeze, în conformitate cu procedurile stabilite la locul de muncă, în cazul apariției oricărui pericol iminent de incendiu;</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furnizeze persoanelor abilitate toate datele și informațiile de care are cunoștință, referitoare la producerea incendiilor.</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III. Dispoziție finală</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Fiecare șef de loc de muncă nominalizat în prezenta decizie are obligația ca, în termen de 30 de zile de la comunicare, să supună verificării cadrului tehnic cu atribuții de apărare împotriva incendiilor instrucțiunile de apărare împotriva incendiilor și sarcinile ce revin personalului de la locul de muncă pe care îl conduce, cuprinse în anexa la prezenta decizie.</w:t>
      </w:r>
    </w:p>
    <w:p>
      <w:pPr>
        <w:pStyle w:val="Normal"/>
        <w:keepNext w:val="true"/>
        <w:widowControl/>
        <w:spacing w:before="480" w:after="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b/>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sz w:val="20"/>
          <w:szCs w:val="20"/>
          <w:lang w:val="it-CH"/>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Style w:val="tpa1"/>
          <w:rFonts w:ascii="Arial" w:hAnsi="Arial" w:cs="Arial"/>
          <w:sz w:val="20"/>
          <w:szCs w:val="20"/>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xml:space="preserve"> nr. {{fire.deci</w:t>
      </w:r>
      <w:r>
        <w:rPr>
          <w:rFonts w:eastAsia="Arial" w:cs="Arial" w:ascii="Arial" w:hAnsi="Arial"/>
          <w:color w:val="auto"/>
          <w:spacing w:val="0"/>
          <w:w w:val="100"/>
          <w:sz w:val="20"/>
          <w:szCs w:val="20"/>
          <w:lang w:val="ro-RO"/>
        </w:rPr>
        <w:t>sionNumbers.instructions}} din {{issueDate}}.</w:t>
      </w:r>
    </w:p>
    <w:tbl>
      <w:tblPr>
        <w:tblW w:w="5000" w:type="pct"/>
        <w:jc w:val="left"/>
        <w:tblInd w:w="0" w:type="dxa"/>
        <w:tblLayout w:type="fixed"/>
        <w:tblCellMar>
          <w:top w:w="17" w:type="dxa"/>
          <w:left w:w="108" w:type="dxa"/>
          <w:bottom w:w="17" w:type="dxa"/>
          <w:right w:w="108" w:type="dxa"/>
        </w:tblCellMar>
      </w:tblPr>
      <w:tblGrid>
        <w:gridCol w:w="620"/>
        <w:gridCol w:w="3459"/>
        <w:gridCol w:w="2075"/>
        <w:gridCol w:w="1298"/>
        <w:gridCol w:w="1903"/>
      </w:tblGrid>
      <w:tr>
        <w:trPr>
          <w:tblHeader w:val="true"/>
          <w:trHeight w:val="70" w:hRule="atLeast"/>
        </w:trPr>
        <w:tc>
          <w:tcPr>
            <w:tcW w:w="62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9"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5"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20"/>
                <w:szCs w:val="20"/>
              </w:rPr>
            </w:pPr>
            <w:r>
              <w:rPr>
                <w:rFonts w:eastAsia="Arial" w:cs="Arial" w:ascii="Arial" w:hAnsi="Arial"/>
                <w:color w:val="auto"/>
                <w:spacing w:val="0"/>
                <w:w w:val="100"/>
                <w:sz w:val="20"/>
                <w:szCs w:val="20"/>
                <w:lang w:val="ro-RO"/>
              </w:rPr>
              <w:t>{{#fire.designated}}{{name}}</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{{#fire.workplaces}}</w:t>
      </w:r>
    </w:p>
    <w:p>
      <w:r>
        <w:br w:type="page"/>
      </w:r>
    </w:p>
    <w:p>
      <w:pPr>
        <w:pStyle w:val="Normal"/>
        <w:keepNext w:val="true"/>
        <w:pageBreakBefore w:val="false"/>
        <w:widowControl/>
        <w:numPr>
          <w:ilvl w:val="0"/>
          <w:numId w:val="0"/>
        </w:numPr>
        <w:spacing w:before="480" w:after="0"/>
        <w:ind w:hanging="0" w:left="0" w:right="0"/>
        <w:jc w:val="center"/>
        <w:rPr/>
      </w:pPr>
      <w:r>
        <w:rPr>
          <w:rStyle w:val="text1"/>
          <w:rFonts w:eastAsia="Arial" w:cs="Arial" w:ascii="Arial" w:hAnsi="Arial"/>
          <w:b/>
          <w:i w:val="false"/>
          <w:color w:val="auto"/>
          <w:spacing w:val="0"/>
          <w:w w:val="100"/>
          <w:sz w:val="20"/>
          <w:szCs w:val="20"/>
          <w:lang w:val="ro-RO"/>
        </w:rPr>
        <w:t>{{client.legalName}}</w:t>
      </w:r>
    </w:p>
    <w:p>
      <w:pPr>
        <w:pStyle w:val="Normal"/>
        <w:keepNext w:val="true"/>
        <w:pageBreakBefore w:val="false"/>
        <w:widowControl/>
        <w:numPr>
          <w:ilvl w:val="0"/>
          <w:numId w:val="0"/>
        </w:numPr>
        <w:spacing w:before="0" w:after="0"/>
        <w:ind w:hanging="0" w:left="0"/>
        <w:jc w:val="center"/>
        <w:rPr/>
      </w:pPr>
      <w:r>
        <w:rPr>
          <w:rStyle w:val="text1"/>
          <w:rFonts w:eastAsia="Arial" w:cs="Arial" w:ascii="Arial" w:hAnsi="Arial"/>
          <w:b/>
          <w:i w:val="false"/>
          <w:color w:val="auto"/>
          <w:spacing w:val="0"/>
          <w:w w:val="100"/>
          <w:sz w:val="24"/>
          <w:szCs w:val="20"/>
          <w:lang w:val="ro-RO"/>
        </w:rPr>
        <w:t>INSTRUCȚIUNI DE APĂRARE ÎMPOTRIVA INCENDIILOR</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Anexă la Decizia nr. {{fire.decisionNumbers.instructions}} din {{issueDate}}</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Locul de muncă: {{name}} ({{activityRunOn}})</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Adresa: {{address}}</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 Obligațiile administratorului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19 alin. (1)) Administratorul sau conducătorul instituției, după caz, are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stabilească, prin dispoziții scrise, responsabilitățile și modul de organizare pentru apărarea împotriva incendiilor în unitatea sa, să le actualizeze ori de câte ori apar modificări și să le aducă la cunoștință salariaților, utilizatorilor și oricăror persoane interesate;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solicite și să obțină avizele și autorizațiile de securitate la incendiu, prevăzute de lege, și să asigure respectarea condițiilor care au stat la baza eliberării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permită, în condițiile legii, executarea controalelor și a inspecțiilor de prevenire împotriva incendiilor, să prezinte documentele și informațiile solicitate și să nu îngreuneze sau să obstrucționeze în niciun fel efectuarea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să permită alimentarea cu apă a autospecialelor de intervenție în situații de urgență;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să întocmească, să actualizeze permanent și să transmită inspectoratului lista cu substanțele periculoase, clasificate potrivit legii, utilizate în activitatea sa sub orice formă, cu mențiuni privind: proprietățile fizico-chimice, codurile de identificare, riscurile pe care le prezintă pentru sănătate și mediu, mijloacele de protecție recomandate, metodele de intervenție și prim ajutor, substanțele pentru stingere, neutralizare sau decontaminare;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să elaboreze instrucțiunile de apărare împotriva incendiilor și să stabilească atribuțiile ce revin salariaților la locurile de muncă;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să verifice dacă salariații cunosc și respectă instrucțiunile necesare privind măsurile de apărare împotriva incendiilor și să verifice respectarea acestor măsuri semnalate corespunzător prin indicatoare de avertizare de către persoanele din exterior care au acces în unitatea sa;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să asigure, conform criteriilor de performanță elaborate potrivit art. 33 alin. (3), constituirea, cu avizul inspectoratului, a serviciului de urgență privat, precum și funcționarea acestuia;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să solicite și să obțină avizele de înființare și pentru sectoarele de competență ale serviciului privat pentru situații de urgență și să asigure respectarea condițiilor care au stat la baza eliberării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l)</w:t>
      </w:r>
      <w:r>
        <w:rPr>
          <w:rStyle w:val="text1"/>
          <w:rFonts w:eastAsia="Arial" w:cs="Arial" w:ascii="Arial" w:hAnsi="Arial"/>
          <w:b w:val="false"/>
          <w:i w:val="false"/>
          <w:color w:val="auto"/>
          <w:spacing w:val="0"/>
          <w:w w:val="100"/>
          <w:sz w:val="20"/>
          <w:szCs w:val="20"/>
          <w:lang w:val="ro-RO"/>
        </w:rPr>
        <w:tab/>
        <w:t>să permită, la solicitare, accesul forțelor inspectoratului în unitatea sa în scop de recunoaștere, instruire sau de antrenament și să participe la exercițiile și aplicațiile tactice de intervenție organizate de acesta;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m)</w:t>
      </w:r>
      <w:r>
        <w:rPr>
          <w:rStyle w:val="text1"/>
          <w:rFonts w:eastAsia="Arial" w:cs="Arial" w:ascii="Arial" w:hAnsi="Arial"/>
          <w:b w:val="false"/>
          <w:i w:val="false"/>
          <w:color w:val="auto"/>
          <w:spacing w:val="0"/>
          <w:w w:val="100"/>
          <w:sz w:val="20"/>
          <w:szCs w:val="20"/>
          <w:lang w:val="ro-RO"/>
        </w:rPr>
        <w:tab/>
        <w:t>să asigure utilizarea, verificarea, întreținerea și repararea mijloacelor de apărare împotriva incendiilor cu persoane autorizate, conform instrucțiunilor furnizate de proiectant în conformitate cu instrucțiunile și documentațiile tehnice furnizate de producătorii echipamentelor și instalațiilor efectiv montate;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n)</w:t>
      </w:r>
      <w:r>
        <w:rPr>
          <w:rStyle w:val="text1"/>
          <w:rFonts w:eastAsia="Arial" w:cs="Arial" w:ascii="Arial" w:hAnsi="Arial"/>
          <w:b w:val="false"/>
          <w:i w:val="false"/>
          <w:color w:val="auto"/>
          <w:spacing w:val="0"/>
          <w:w w:val="100"/>
          <w:sz w:val="20"/>
          <w:szCs w:val="20"/>
          <w:lang w:val="ro-RO"/>
        </w:rPr>
        <w:tab/>
        <w:t>să asigure pregătirea și antrenarea serviciului de urgență privat pentru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o)</w:t>
      </w:r>
      <w:r>
        <w:rPr>
          <w:rStyle w:val="text1"/>
          <w:rFonts w:eastAsia="Arial" w:cs="Arial" w:ascii="Arial" w:hAnsi="Arial"/>
          <w:b w:val="false"/>
          <w:i w:val="false"/>
          <w:color w:val="auto"/>
          <w:spacing w:val="0"/>
          <w:w w:val="100"/>
          <w:sz w:val="20"/>
          <w:szCs w:val="20"/>
          <w:lang w:val="ro-RO"/>
        </w:rPr>
        <w:tab/>
        <w:t>să asigure și să pună în mod gratuit la dispoziție forțelor chemate în ajutor mijloacele tehnice pentru apărare împotriva incendiilor și echipamentele de protecție specifice riscurilor care decurg din existența și funcționarea unității sale, precum și antidotul și medicamentele pentru acordarea primului ajutor;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p)</w:t>
      </w:r>
      <w:r>
        <w:rPr>
          <w:rStyle w:val="text1"/>
          <w:rFonts w:eastAsia="Arial" w:cs="Arial" w:ascii="Arial" w:hAnsi="Arial"/>
          <w:b w:val="false"/>
          <w:i w:val="false"/>
          <w:color w:val="auto"/>
          <w:spacing w:val="0"/>
          <w:w w:val="100"/>
          <w:sz w:val="20"/>
          <w:szCs w:val="20"/>
          <w:lang w:val="ro-RO"/>
        </w:rPr>
        <w:tab/>
        <w:t>să stabilească și să transmită către transportatorii, distribuitorii și utilizatorii produselor sale regulile și măsurile de apărare împotriva incendiilor, specifice acestora, corelate cu riscurile la utilizarea, manipularea, transportul și depozitarea produselor respective;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q)</w:t>
      </w:r>
      <w:r>
        <w:rPr>
          <w:rStyle w:val="text1"/>
          <w:rFonts w:eastAsia="Arial" w:cs="Arial" w:ascii="Arial" w:hAnsi="Arial"/>
          <w:b w:val="false"/>
          <w:i w:val="false"/>
          <w:color w:val="auto"/>
          <w:spacing w:val="0"/>
          <w:w w:val="100"/>
          <w:sz w:val="20"/>
          <w:szCs w:val="20"/>
          <w:lang w:val="ro-RO"/>
        </w:rPr>
        <w:tab/>
        <w:t>să informeze de îndată, prin orice mijloc, inspectoratul despre izbucnirea și stingerea cu forțe și mijloace proprii a oricărui incendiu, iar în termen de 3 zile lucrătoare să completeze și să trimită acestuia raportul de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val="false"/>
          <w:i w:val="false"/>
          <w:color w:val="auto"/>
          <w:spacing w:val="0"/>
          <w:w w:val="100"/>
          <w:sz w:val="20"/>
          <w:szCs w:val="20"/>
          <w:lang w:val="ro-RO"/>
        </w:rPr>
        <w:tab/>
        <w:t>să asigure echiparea construcțiilor și amenajărilor cu mijloace tehnice de apărare împotriva incendiilor certificate conform legii;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informarea inspectoratului, în scris și, operativ, prin poșta electronică, cu privire la nefuncționarea instalațiilor de detectare, semnalizare și alarmare sau a instalațiilor automate de stingere cu care sunt echipate construcțiile, în cel mult 24 de ore de la constatare, cu excepția conducătorilor instituțiilor din Sistemul de Apărare, Ordine Publică și Securitate Națională;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2</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dispună și să asigure menținerea, pe intervalul de timp prevăzut la lit. r</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a măsurilor alternative prevăzute la art. 19 alin. (5) atunci când constată nefuncționarea instalațiilor de detectare, semnalizare și alarmare, a instalațiilor automate de stingere ori a instalațiilor de iluminat de securitate pentru evacuare cu care sunt echipate construcțiile care fac obiectul criteriilor stabilite de hotărârea Guvernului prevăzută la art. 30</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xml:space="preserve"> alin. (4</w:t>
      </w:r>
      <w:r>
        <w:rPr>
          <w:rStyle w:val="text1"/>
          <w:rFonts w:eastAsia="Arial" w:cs="Arial" w:ascii="Arial" w:hAnsi="Arial"/>
          <w:b w:val="false"/>
          <w:i w:val="false"/>
          <w:color w:val="auto"/>
          <w:spacing w:val="0"/>
          <w:w w:val="100"/>
          <w:sz w:val="20"/>
          <w:szCs w:val="20"/>
          <w:vertAlign w:val="superscript"/>
          <w:lang w:val="ro-RO"/>
        </w:rPr>
        <w:t>4</w:t>
      </w:r>
      <w:r>
        <w:rPr>
          <w:rStyle w:val="text1"/>
          <w:rFonts w:eastAsia="Arial" w:cs="Arial" w:ascii="Arial" w:hAnsi="Arial"/>
          <w:b w:val="false"/>
          <w:i w:val="false"/>
          <w:color w:val="auto"/>
          <w:spacing w:val="0"/>
          <w:w w:val="100"/>
          <w:sz w:val="20"/>
          <w:szCs w:val="20"/>
          <w:lang w:val="ro-RO"/>
        </w:rPr>
        <w: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3</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suspende activitatea atunci când instalațiile de detectare, semnalizare și alarmare, instalațiile automate de stingere ori instalațiile pentru iluminat de securitate pentru evacuare cu care sunt echipate construcțiile care fac obiectul criteriilor stabilite de hotărârea Guvernului prevăzută la art. 30</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xml:space="preserve"> alin. (4</w:t>
      </w:r>
      <w:r>
        <w:rPr>
          <w:rStyle w:val="text1"/>
          <w:rFonts w:eastAsia="Arial" w:cs="Arial" w:ascii="Arial" w:hAnsi="Arial"/>
          <w:b w:val="false"/>
          <w:i w:val="false"/>
          <w:color w:val="auto"/>
          <w:spacing w:val="0"/>
          <w:w w:val="100"/>
          <w:sz w:val="20"/>
          <w:szCs w:val="20"/>
          <w:vertAlign w:val="superscript"/>
          <w:lang w:val="ro-RO"/>
        </w:rPr>
        <w:t>4</w:t>
      </w:r>
      <w:r>
        <w:rPr>
          <w:rStyle w:val="text1"/>
          <w:rFonts w:eastAsia="Arial" w:cs="Arial" w:ascii="Arial" w:hAnsi="Arial"/>
          <w:b w:val="false"/>
          <w:i w:val="false"/>
          <w:color w:val="auto"/>
          <w:spacing w:val="0"/>
          <w:w w:val="100"/>
          <w:sz w:val="20"/>
          <w:szCs w:val="20"/>
          <w:lang w:val="ro-RO"/>
        </w:rPr>
        <w:t>) nu pot fi repuse în stare de funcționare în cel mult 72 de ore de la momentul constatării defecțiunilor; obligația de suspendare a activității se aplică în cazul construcțiilor cu destinația de producție, doar în situația în care administratorul nu ia măsurile alternative prevăzute la art. 19 alin. (5) până la remedierea defecțiunilor;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4</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informeze inspectoratul, în scris și, operativ, prin poșta electronică, cu privire la suspendarea activității sau încetarea suspendării activității, în cel mult 24 de ore de la momentul dispunerii măsurii;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5</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respectarea capacității de utilizatori prin monitorizarea și contorizarea permanentă a acestora prin intermediul unor echipamente mecanice sau sisteme electronice automate, amplasate astfel încât să se respecte gabaritul căilor de evacuare, și prin desemnarea uneia sau mai multor persoane responsabile de accesul utilizatorilor, pentru cluburi, baruri și discoteci, pentru construcțiile care se încadrează în categoria sălilor aglomerate definite potrivit reglementărilor tehnice specifice, precum și pentru stadioane unde se organizează spectacole sau festivaluri cu public numeros;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6</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participarea cadrelor tehnice la sesiunile de pregătire organizate de inspectorate;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7</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îndeplinirea condițiilor legale de funcționare din punctul de vedere al apărării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8</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concluziile rezultate în urma controalelor efectuate de cadrele tehnice și de persoanele fizice sau juridice autorizate să îndeplinească atribuții de cadru tehnic și a celor desfășurate de inspectorate și să dispună măsuri pentru remedierea deficiențelor și pentru eficientizarea activității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9</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situațiile de întrerupere a funcționării instalațiilor cu rol în asigurarea cerinței securitate la incendiu și să dispună măsuri alternative pentru a asigura evacuarea în condiții de siguranță;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10</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practicabilitatea permanentă a căilor de evacuare pe timpul desfășurării activității;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11</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respectarea graficelor de întreținere a instalațiilor cu rol în asigurarea cerinței securitate la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12</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formarea persoanelor fizice care îndeplinesc prin cumul atribuții privind apărarea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13</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urmărească și să analizeze activitatea cadrelor tehnice și a persoanelor fizice sau juridice autorizate să îndeplinească atribuții de cadru tehnic;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14</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participarea cadrelor tehnice și persoanelor fizice sau juridice autorizate să îndeplinească atribuții de cadru tehnic la controalele executate de inspectorate;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15</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informarea publicului care poate avea acces în construcții sau amenajări în calitate de consumator cu privire la nerespectarea obligației prevăzute la lit. c), prin afișarea pe site-urile proprii de promovare;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16</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interzică utilizarea articolelor pirotehnice, precum și folosirea flăcării deschise pentru ambianță, decor sau divertisment, pe timpul programului cu public, în clădiri, spații sau amenajări închise în care publicul are acces, având destinația de cultură, turism, comerț sau alimentație publică, inclusiv în corturi închise cu pereți, destinate organizării de evenimente, cu excepția utilizării lumânărilor pentru torturi aniversare, precum și a utilizării flăcării deschise în cadrul unităților de alimentație publică în care prepararea hranei se realizează în prezența consumatorului, cu respectarea normelor de securitate la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s)</w:t>
      </w:r>
      <w:r>
        <w:rPr>
          <w:rStyle w:val="text1"/>
          <w:rFonts w:eastAsia="Arial" w:cs="Arial" w:ascii="Arial" w:hAnsi="Arial"/>
          <w:b w:val="false"/>
          <w:i w:val="false"/>
          <w:color w:val="auto"/>
          <w:spacing w:val="0"/>
          <w:w w:val="100"/>
          <w:sz w:val="20"/>
          <w:szCs w:val="20"/>
          <w:lang w:val="ro-RO"/>
        </w:rPr>
        <w:tab/>
        <w:t>să îndeplinească orice alte atribuții prevăzute de lege privind apărarea împotriva incendiilor.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îndeplinirea atribuțiilor, conform OMAI 163/2007 – art. 6, administratorul desemnează persoane sau încheie contracte de prestări servicii cu persoane fizice sau juridice atestate conform legii.</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Administratorul răspunde de activitatea de prevenire și stingere a incendiilor și o conduce prin structurile subordonate.</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II. Obligațiile șefilor locurilor de muncă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Șefii locurilor de muncă au următoarele atribuții: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completarea și actualizarea evidenței personalului subordonat;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studierea și însușirea actelor de autoritate emise de conducător;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studierea și însușirea prezentelor atribuții.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Instruirea: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desfășurarea instruirii personalului din subordine conform deciziei privind instruirea în domeniul situațiilor de urgență, Decizia nr. {{fire.decisionNumbers.training}};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desfășurarea instruirii personalului din exterior conform aceleiași decizii;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asigurarea participării angajaților la instruire și la exercițiile practice, conform planificării;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aducerea la cunoștința personalului din subordine, pe bază de semnătură, a conținutului actelor de autoritate, în părțile care îl privesc;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instruirea periodică a personalului din subordine{{#fire.staff.executionText}}: personalul de execuție la {{fire.schedule.workerIntervalLabel}}, respectiv în {{fire.schedule.workerMonths}}{{/fire.staff.executionText}}, conform Deciziei nr. {{fire.decisionNumbers.training}};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verificarea fișelor de instruire, ca acestea să fie completate corect, cu toate datele din formular, data instruirii și testele efectuate;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prelucrarea legislației primite pentru instruire;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prelucrarea tematicii instruirii periodice;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semnarea fișei de instruire la rubrica „persoana care a instruit”;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verificarea semnării de către angajat a fișei de instruire la rubrica „persoana instruită”.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Exerciții de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executarea lunară, practică, a exercițiilor de primă intervenție cu personalul nominalizat;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completarea evidenței exercițiilor desfășurate, cu semnătura personalului participant.</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Organizarea intervenției la locul de muncă, respectiv:</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prezentarea semnalului de alarmare – voce, sirenă;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precizarea numărului de telefon operativ – 112;</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prezentarea locului de amplasare a stingătoarelor, a hidranților interiori și a butoanelor de semnalizare;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stabilirea sarcinilor fiecărui angajat în caz de alarmă;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traseele de evacuare – prezentarea căilor și ușilor de evacuare;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locul de adunare a personalului evacuat – se prezintă locul de adunare;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cine face prezența – se nominalizează persoana cu această obligație;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semnarea tabelului cu personalul participant la exercițiu, lunar;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afișarea organizării apărării împotriva incendiilor la locul de muncă și a planului cu organizarea evacuării.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Controlul intern:</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executarea controalelor interne conform planificării, Decizia nr. {{fire.decisionNumbers.control}};</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înscrierea constatărilor în procesul-verbal de control propriu;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verificarea stingătoarelor, lunar – aspect, valabilitate;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verificarea marcajelor, lunar – semne convenționale;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verificarea respectării regulilor privind fumatul, stabilite prin Decizia nr. {{fire.decisionNumbers.smoking}}.</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Atribuții specifice potrivit OMAI 163/2007:</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verificarea, la terminarea programului, a scoaterii din funcțiune a aparatelor și consumatorilor;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întocmirea și transmiterea la sediu a notelor de control privind:</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apărării împotriva incendiilor când activitatea este întreruptă;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colectarea, depozitarea și neutralizarea organizată a deșeurilor;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delimitarea, marcarea și dotarea locurilor special amenajate pentru fumat;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prezentarea fișei obiectivului la solicitarea reprezentanților ISU;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prezentarea la sediu, în formă scrisă, a propunerilor pentru remedierea neregulilor și pentru efectuarea analizei periodice a capacității de apărare împotriva incendiilor;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funcționării sistemului de alarmare la incendiu – comunicarea inexistenței sau nefuncționării acestui sistem;</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marcarea locurilor unde este interzisă folosirea focului deschis;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respectarea interdicției de depozitare a lichidelor inflamabile altfel decât prevăd normele în vigoare;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deblocată a căilor de acces ale autospecialelor;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deblocată a accesului la instalațiile și mijloacele de stingere și intervenție;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anunțarea expirării termenului de valabilitate a mijloacelor de primă intervenție, cu 30 de zile înainte;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afișarea la loc vizibil a instrucțiunilor de apărare împotriva incendiilor, a organizării primei intervenții, a organizării apărării la locul de muncă și a planului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actualizarea datelor la modificările din structura de personal;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marcarea cu sistem luminos a căilor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vizibilității indicatoarelor de securitate la incendiu;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folosirea sistemelor, utilajelor și aparatelor numai în condiții tehnice corespunzătoare;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desfășurarea instruirii personalului din subordine și a personalului din exterior conform deciziei privind instruirea;</w:t>
      </w:r>
    </w:p>
    <w:p>
      <w:pPr>
        <w:pStyle w:val="Normal"/>
        <w:keepNext w:val="false"/>
        <w:pageBreakBefore w:val="false"/>
        <w:widowControl/>
        <w:numPr>
          <w:ilvl w:val="0"/>
          <w:numId w:val="0"/>
        </w:numPr>
        <w:spacing w:before="0" w:after="12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completarea registrului de control al instalațiilor.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Pentru organizarea apărării împotriva incendiilor la locul de muncă, șefii locurilor de muncă au următoarele responsabilități:</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prevenirea incendiilor – țin evidența:</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materialelor și dotărilor tehnologice cu pericol de incendiu;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surselor probabile de aprindere;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mijloacelor care pot genera incendii;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măsurilor de prevenire specifice;</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intervenția pentru stingerea incendiilor: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mijloacele de alarmare a personalului, a forțelor specializate și a administratorului;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mijloacele de primă intervenție și de salvare a personalului;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componența echipei de salvare-evacuare, pe schimburi și pe zile de lucru;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organizarea intervenției, cu nominalizarea persoanelor incluse și a activităților;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pentru intervenția la locul de muncă: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alarmează personalul de la locul de muncă;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anunță evenimentul la conducere și la 112;</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coordonează salvarea personalului conform planului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dispun întreruperea alimentării cu energie electrică și gaze;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conduc acțiunea de primă intervenție cu mijloacele din dotare;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organizează evacuarea bunurilor aflate în pericol;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iau măsuri de protecție a personalului de intervenție împotriva efectelor incendiului;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verifică prezența personalului evacuat, corelată cu personalul aflat la lucru în ziua respectivă;</w:t>
      </w:r>
    </w:p>
    <w:p>
      <w:pPr>
        <w:pStyle w:val="Normal"/>
        <w:keepNext w:val="false"/>
        <w:pageBreakBefore w:val="false"/>
        <w:widowControl/>
        <w:numPr>
          <w:ilvl w:val="0"/>
          <w:numId w:val="0"/>
        </w:numPr>
        <w:spacing w:before="0" w:after="12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organizează verificarea locurilor în care pot apărea focare noi sau unde se poate propaga incendiul.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intervenția la locurile de muncă, nominalizarea persoanelor se face pe schimburi de activitate, în timpul și în afara programului de lucru și pentru zilele de repaus și sărbătorile legale.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situația în care activitatea normală este întreruptă (noaptea, zile nelucrătoare, sărbători legale etc.) se iau în mod obligatoriu măsuri de apărare împotriva incendiilor.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III. Obligațiile utilizatorului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21) Utilizatorul are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cunoască și să respecte măsurile de apărare împotriva incendiilor, stabilite de administrator, conducătorul instituției, proprietar, producător sau importator,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să întrețină și să folosească, în scopul pentru care au fost realizate, dotările pentru apărarea împotriva incendiilor, puse la dispoziție de administrator, conducătorul instituției, proprietar, producător sau importator;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respecte normele de apărare împotriva incendiilor, specifice activităților pe care le organizează sau le desfășoară;</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aducă la cunoștința administratorului, conducătorului instituției sau proprietarului, după caz, orice defecțiune tehnică ori altă situație care constituie pericol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IV. Obligațiile salariaților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22) Fiecare salariat are, la locul de muncă,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respecte regulile și măsurile de apărare împotriva incendiilor, aduse la cunoștință, sub orice formă, de administrator sau de conducătorul instituției,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să utilizeze substanțele periculoase, instalațiile, utilajele, mașinile, aparatura și echipamentele, potrivit instrucțiunilor tehnice, precum și celor date de administrator sau de conducătorul instituției,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nu efectueze manevre nepermise sau modificări neautorizate ale sistemelor și instalațiilor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să acționeze, în conformitate cu procedurile stabilite la locul de muncă, în cazul apariției oricărui pericol iminent de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să furnizeze persoanelor abilitate toate datele și informațiile de care are cunoștință, referitoare la producerea incendiilor.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 Comportamentul în caz de incendiu</w:t>
      </w:r>
    </w:p>
    <w:tbl>
      <w:tblPr>
        <w:tblW w:w="5000" w:type="pct"/>
        <w:jc w:val="left"/>
        <w:tblInd w:w="55" w:type="dxa"/>
        <w:tblLayout w:type="fixed"/>
        <w:tblCellMar>
          <w:top w:w="55" w:type="dxa"/>
          <w:left w:w="55" w:type="dxa"/>
          <w:bottom w:w="55" w:type="dxa"/>
          <w:right w:w="55" w:type="dxa"/>
        </w:tblCellMar>
      </w:tblPr>
      <w:tblGrid>
        <w:gridCol w:w="2806"/>
        <w:gridCol w:w="6549"/>
      </w:tblGrid>
      <w:tr>
        <w:trPr>
          <w:tblHeader w:val="true"/>
        </w:trPr>
        <w:tc>
          <w:tcPr>
            <w:tcW w:w="9355" w:type="dxa"/>
            <w:gridSpan w:val="2"/>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Comportament în caz de incendiu – Păstrați-vă calmul!</w:t>
            </w:r>
          </w:p>
        </w:tc>
      </w:tr>
      <w:tr>
        <w:trPr/>
        <w:tc>
          <w:tcPr>
            <w:tcW w:w="2806"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1. Anunțați incendiul</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Telefon pompieri: 112</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Telefon salvare: 112</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CINE anunță? CE s-a întâmplat? UNDE s-a întâmplat?</w:t>
            </w:r>
          </w:p>
        </w:tc>
      </w:tr>
      <w:tr>
        <w:trPr/>
        <w:tc>
          <w:tcPr>
            <w:tcW w:w="2806"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2. Evacuați-vă în siguranță</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Salvați persoanele aflate în pericol.</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Urmați căile de evacuare marcate.</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Fiți atenți la indicatoare.</w:t>
            </w:r>
          </w:p>
        </w:tc>
      </w:tr>
      <w:tr>
        <w:trPr/>
        <w:tc>
          <w:tcPr>
            <w:tcW w:w="2806"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3. Stingeți incendiul</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Utilizați stingătoarele.</w:t>
            </w:r>
          </w:p>
        </w:tc>
      </w:tr>
    </w:tbl>
    <w:p>
      <w:pPr>
        <w:pStyle w:val="Normal"/>
        <w:keepNext/>
        <w:pageBreakBefore w:val="false"/>
        <w:widowControl/>
        <w:numPr>
          <w:ilvl w:val="0"/>
          <w:numId w:val="0"/>
        </w:numPr>
        <w:spacing w:before="120" w:after="60"/>
        <w:ind w:hanging="0" w:left="0"/>
        <w:jc w:val="left"/>
        <w:rPr/>
      </w:pPr>
      <w:r>
        <w:rPr>
          <w:rStyle w:val="text1"/>
          <w:rFonts w:eastAsia="Arial" w:cs="Arial" w:ascii="Arial" w:hAnsi="Arial"/>
          <w:b w:val="false"/>
          <w:i w:val="false"/>
          <w:color w:val="auto"/>
          <w:spacing w:val="0"/>
          <w:w w:val="100"/>
          <w:sz w:val="20"/>
          <w:szCs w:val="20"/>
          <w:lang w:val="ro-RO"/>
        </w:rPr>
        <w:t>Informarea pompierilor: pompierii sunt întâmpinați de administrator (sau de reprezentantul acestuia), care îi informează cu privire la: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numărul și locurile posibile din clădire unde mai sunt persoane;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situația intrărilor, a caselor de scări și a coridoarelor;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locul unde s-a produs incendiul și propagarea acestuia;</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alte date solicitate de forțele de intervenție.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Fiecare salariat trebuie să știe: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unde se găsesc stingătoarele;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cum se utilizează acestea;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ce tip de stingător este potrivit fiecărui tip de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ce tactică de stingere trebuie utilizată.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De aceea: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informați-vă unde sunt amplasate stingătoarele!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citiți indicațiile de folosire – pe cât posibil chiar acum, și nu abia atunci când s-a produs incendiul!</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participați la exercițiul practic în caz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 Mijloacele de apărare împotriva incendiilor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Locul de muncă este dotat cu următoarele mijloace tehnice de apărare împotriva incendiilor: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{{#installations}}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{{kindLabel}}{{#description}} ({{description}}){{/description}};</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{{/installations}}</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{{#extinguishers}}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Stingător tip {{code}} – {{agentLabel}}, {{capacityLabel}}{{#wheeled}}, carosabil{{/wheeled}}: {{count}} buc.;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{{/extinguishers}}</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{{#otherEquipment}}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{{kindLabel}}: {{count}} buc.;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{{/otherEquipment}}</w:t>
      </w:r>
    </w:p>
    <w:p>
      <w:pPr>
        <w:pStyle w:val="Normal"/>
        <w:keepNext w:val="tru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Stingătoarele sunt repartizate după cum urmează:</w:t>
      </w:r>
    </w:p>
    <w:tbl>
      <w:tblPr>
        <w:tblW w:w="5000" w:type="pct"/>
        <w:jc w:val="left"/>
        <w:tblInd w:w="55" w:type="dxa"/>
        <w:tblLayout w:type="fixed"/>
        <w:tblCellMar>
          <w:top w:w="55" w:type="dxa"/>
          <w:left w:w="55" w:type="dxa"/>
          <w:bottom w:w="55" w:type="dxa"/>
          <w:right w:w="55" w:type="dxa"/>
        </w:tblCellMar>
      </w:tblPr>
      <w:tblGrid>
        <w:gridCol w:w="1039"/>
        <w:gridCol w:w="1559"/>
        <w:gridCol w:w="3118"/>
        <w:gridCol w:w="2079"/>
        <w:gridCol w:w="1560"/>
      </w:tblGrid>
      <w:tr>
        <w:trPr>
          <w:tblHeader w:val="true"/>
        </w:trPr>
        <w:tc>
          <w:tcPr>
            <w:tcW w:w="103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155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Tip</w:t>
            </w:r>
          </w:p>
        </w:tc>
        <w:tc>
          <w:tcPr>
            <w:tcW w:w="3118"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Agent de stingere</w:t>
            </w:r>
          </w:p>
        </w:tc>
        <w:tc>
          <w:tcPr>
            <w:tcW w:w="207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Capacitate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bucăți</w:t>
            </w:r>
          </w:p>
        </w:tc>
      </w:tr>
      <w:tr>
        <w:trPr/>
        <w:tc>
          <w:tcPr>
            <w:tcW w:w="1039"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{{#extinguishers}}{{$index}}.</w:t>
            </w:r>
          </w:p>
        </w:tc>
        <w:tc>
          <w:tcPr>
            <w:tcW w:w="1559"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{{code}}</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{{agentLabel}}</w:t>
            </w:r>
          </w:p>
        </w:tc>
        <w:tc>
          <w:tcPr>
            <w:tcW w:w="2079"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{{capacityLabel}}{{#wheeled}}, carosabil{{/wheeled}}</w:t>
            </w:r>
          </w:p>
        </w:tc>
        <w:tc>
          <w:tcPr>
            <w:tcW w:w="1560"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{{count}}{{/extinguishers}}</w:t>
            </w:r>
          </w:p>
        </w:tc>
      </w:tr>
      <w:tr>
        <w:trPr/>
        <w:tc>
          <w:tcPr>
            <w:tcW w:w="7795" w:type="dxa"/>
            <w:gridSpan w:val="4"/>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Total</w:t>
            </w:r>
          </w:p>
        </w:tc>
        <w:tc>
          <w:tcPr>
            <w:tcW w:w="1560"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{{extinguisherCount}}</w:t>
            </w:r>
          </w:p>
        </w:tc>
      </w:tr>
    </w:tbl>
    <w:p>
      <w:pPr>
        <w:pStyle w:val="Normal"/>
        <w:keepNext/>
        <w:pageBreakBefore w:val="false"/>
        <w:widowControl/>
        <w:numPr>
          <w:ilvl w:val="0"/>
          <w:numId w:val="0"/>
        </w:numPr>
        <w:spacing w:before="120" w:after="60"/>
        <w:ind w:hanging="0" w:left="0"/>
        <w:jc w:val="left"/>
        <w:rPr/>
      </w:pPr>
      <w:r>
        <w:rPr>
          <w:rStyle w:val="text1"/>
          <w:rFonts w:eastAsia="Arial" w:cs="Arial" w:ascii="Arial" w:hAnsi="Arial"/>
          <w:b w:val="false"/>
          <w:i w:val="false"/>
          <w:color w:val="auto"/>
          <w:spacing w:val="0"/>
          <w:w w:val="100"/>
          <w:sz w:val="20"/>
          <w:szCs w:val="20"/>
          <w:lang w:val="ro-RO"/>
        </w:rPr>
        <w:t>Salariații trebuie să cunoască: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unde sunt amplasate stingătoarele (locul exact);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cum se utilizează acestea (la stingătorul portabil se trage inelul de siguranță și se apasă mânerul declanșator).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VII. Elementele care determină riscul de incendiu</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Conform OMAI 163/2007 – art. 33 alin. (2) lit. d), riscul de incendiu la locul de muncă este determinat de: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materialele combustibile și inflamabile – {{combustibleMaterials}};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sursele de aprindere posibile – {{ignitionSources}};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echipamentele și mijloacele de lucru – {{fireRiskEquipment}}.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{{#specificMeasures}}</w:t>
      </w:r>
    </w:p>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Măsuri specifice locului de muncă: {{specificMeasuresRunOn}}</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{{/specificMeasures}}</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VIII. Reguli generale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Este interzisă exploatarea utilajelor și instalațiilor electrice în următoarele situații: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fără să aibă protecțiile, izolările sau separațiile necesare, precum și legătura la pământ și la nulul de protecție;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dacă sunt amplasate la distanțe necorespunzătoare față de materiale sau substanțe combustibile;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dacă sunt încărcate peste sarcina admisibilă;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cu improvizații sau defecțiuni;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cu încălziri ale lagărelor sau carcaselor peste temperatura admisă.</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Accesul și intervenția la tablourile de distribuție, comandă și automatizare sunt permise numai personalului autorizat.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Se interzice amplasarea oricăror materiale sau utilaje în imediata apropiere a tablourilor electrice.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Orice defecțiune a instalațiilor electrice se remediază în cel mai scurt timp, numai de către personalul autorizat pentru astfel de intervenții.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Măsurile tehnico-organizatorice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întreținerea și exploatarea instalațiilor electrice fără defecțiuni și improvizații;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executarea lucrărilor cu foc deschis cu respectarea prescripțiilor tehnice specifice (permis de lucru cu foc);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verificarea periodică a mijloacelor de primă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instruirea periodică, teoretică și practică, a salariaților;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executarea periodică a unor exerciții practice de stingere cu salariații.</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Se interzice folosirea focului deschis și a încălzirii cu surse cu foc deschis (reșouri, radiatoare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Executarea lucrărilor de sudare, tăiere, lipire sau a altor asemenea operațiuni care prezintă pericol de incendiu se realizează doar cu aprobarea și reglementarea scrisă a administratorului privind modul de executare (Decizia nr. {{fire.decisionNumbers.openFire}}), pe baza permisului de lucru cu foc.</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IX. Fumatul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{{#fire.smoking.forbiddenEverywhere}}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Fumatul este interzis în toate spațiile și pe întreaga incintă a {{client.legalName}}, conform Deciziei nr. {{fire.decisionNumbers.smoking}}.</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{{/fire.smoking.forbiddenEverywhere}}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Fumatul este interzis în spațiile de lucru, în birouri, în grupurile social-sanitare și în toate spațiile închise. Fumatul este permis numai în locurile amenajate în exteriorul clădirilor{{#fire.smoking.place}} ({{fire.smoking.place}}){{/fire.smoking.place}}, conform Deciziei nr. {{fire.decisionNumbers.smoking}}: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locurile stabilite pentru fumat sunt marcate și semnalizate „LOC PENTRU FUMAT”, fiind prevăzute cu scrumiere sau vase cu apă, nisip sau pământ;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scrumierele se amplasează astfel încât să nu fie posibilă aprinderea materialelor combustibile din apropiere (draperii, jaluzele etc.);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depunerea în scrumiere a altor deșeuri de materiale combustibile este interzisă;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 este permis fumatul în exteriorul clădirii la o distanță mai mică de 40 m față de locurile în care există pericol de explozie (gaze și lichide combustibile, rastel cu butelii GPL etc.) sau la o distanță mai mică de 10 m față de locurile în care există materiale solide combustibile (lemn, hârtie, carton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Aruncarea la întâmplare a resturilor de țigări sau chibrituri aprinse este interzisă.</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 Căile de acces, de evacuare și de intervenție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Accesul mijloacelor și al persoanelor pentru intervențiile operative în caz de incendiu trebuie să fie asigurat în permanență la toate: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spațiile de producție;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instalațiile tehnologice și anexele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depozitele închise și deschise;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instalațiile, aparatele și mijloacele de apărare împotriva incendiilor, precum și punctele de comandă ale acestora (centrala și butoanele de semnalizare a incendiilor, stația de pompe de incendiu, hidranții de incendiu, stingătoarele, posturile telefonice etc.);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dispozitivele de acționare a unor mijloace cu rol de protecție în caz de incendiu (trape de evacuare a fumului și gazelor fierbinți etc.);</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tablourile de distribuție și întrerupătoarele instalațiilor electrice de iluminat, de forță și de iluminat de siguranță și sursele de rezervă destinate să alimenteze receptoarele electrice cu rol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Căile de acces, de evacuare și de intervenție trebuie menținute, în orice anotimp, practicabile și curate. Blocarea căilor de acces, de evacuare și de intervenție cu materiale care reduc lățimea sau înălțimea liberă de circulație stabilită ori care prezintă pericol de incendiu sau explozie, precum și modificările la acestea, prin care se înrăutățește situația inițială, sunt interzise.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Sistemul de închidere a ușilor de pe traseele de evacuare trebuie să permită deschiderea cu ușurință a acestora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Dispozitivele care asigură închiderea automată în caz de incendiu a elementelor de protecție, cele de acționare a trapelor, precum și cele care mențin în poziție închisă ușile încăperilor tampon vor fi în permanență în stare de funcționare.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Căile de acces, de evacuare și de intervenție sunt marcate cu indicatoare de securitate, astfel încât traseele acestora să poată fi recunoscute cu ușurință, atât ziua, cât și noaptea, de persoanele care le utilizează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Este interzisă amplasarea pe căile de evacuare a ușilor false, a draperiilor și a oglinzilor care pot deruta persoanele ce se evacuează în caz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 Colectarea deșeurilor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Colectarea deșeurilor și reziduurilor combustibile se face ritmic, obligatoriu la terminarea fiecărui schimb, iar acestea se depun în locurile destinate depozitării sau distrugerii lor, astfel încât la locurile de muncă să fie în permanență curățenie, conform Deciziei nr. {{fire.decisionNumbers.waste}}.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Se colectează: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pulberile, rumegușul, talașul și alte deșeuri combustibile depuse pe pardoseli;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maculatura de birotică;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scurgerile de lichide combustibile de pe sol, pardoseli etc.;</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ambalajele care prezintă pericol de incendiu sau de explozie (lemn, carton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Deșeurile ușor inflamabile (ambalaje din carton, materiale plastice) vor fi îndepărtate din încăperi și depozitate în zona de siguranță, respectiv în containerele pentru deșeuri.</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XII. Transportul, manipularea și depozitarea</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 timpul transportului, manipulării și depozitării produselor sau substanțelor combustibile, se va ține seama de proprietățile fizico-chimice și de compatibilitatea acestora cu substanțele de stingere, astfel încât la contactul dintre ele să nu se producă ori să nu se propage incendiul.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Produsele și substanțele combustibile se transportă, se manipulează și se depozitează în ambalaje adecvate, realizate și inscripționate corespunzător, în vederea identificării riscurilor de incendiu și stabilirii procedeelor și substanțelor de stingere ori de neutralizare adecvate.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Reguli privind transporturile rutiere și condițiile de parcare: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parcarea sau gararea mijloacelor auto pentru transportul materialelor periculoase în parcarea unității este strict interzisă;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 inventarul autovehiculului trebuie să se găsească stingătorul, iar în cazul autovehiculelor care transportă încărcături ușor inflamabile sau periculoase, câte două stingătoare, precum și o ladă sau un sac cu nisip, o pătură groasă și o lopată pentru împrăștierea nisipului;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se interzice plecarea în cursă a autovehiculelor destinate transporturilor de persoane care nu sunt amenajate în conformitate cu prevederile regulamentului privind circulația pe drumurile publice;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se interzice folosirea flăcării deschise sau a altor surse de foc pentru pornirea motorului ori pentru iluminare la remedierea defecțiunilor sau la alimentarea cu combustibil, efectuate pe timpul nopții;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parcarea autovehiculelor se face numai în locurile marcate, astfel încât să se păstreze spațiile necesare pentru intervenția rapidă în caz de incendiu; pe platforma de parcare se vor întreține marcajele spațiilor destinate dispunerii autovehiculelor;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se interzice introducerea în parcare a autoturismelor care: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sunt încărcate cu substanțe explozive ori lichide combustibile sau ușor inflamabile;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fisuri, spărturi sau sunt fără bușoane la rezervoarele de combustibil;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prezintă scurgeri de combustibil;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motoare sau țevi de eșapament supraîncălzite ori sunt fără tobă de eșapament;</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instalația electrică defectă;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în cazul deversării accidentale a carburanților sau lubrifianților pe pardoseală, petele se acoperă cu nisip; nisipul îmbibat se evacuează imediat în afara parcajului, în locuri fără pericol de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mijloacele auto pentru transportul materialelor periculoase, clasificate conform legii, pot circula pe drumurile publice numai dacă sunt omologate pentru clasele de periculozitate a materialelor respective și echipate cu mijloace adecvate pentru stingerea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traseele și programele admise pentru circulația mijloacelor auto care transportă mărfuri periculoase, locurile în care se permite staționarea sau parcarea acestora, precum și condițiile privind amenajarea parcajelor și dotarea acestora cu mijloace de prevenire și stingere a incendiilor se stabilesc prin reglementări specifice și dispoziții locale;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parcarea sau gararea mijloacelor auto pentru transportul materialelor periculoase în parcaje sau garaje publice ori în apropierea clădirilor publice și de locuit este strict interzisă.</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XIII. Intervenția și salvarea</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Este obligatorie cunoașterea de către fiecare angajat a următoarelor reguli referitoare la evacuarea persoanelor: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cunoașterea planului de evacuare aprobat;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 funcționare, pe tot timpul desfășurării activității, a ușilor de pe toate traseele de evacuare și intervenție în caz de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căilor de evacuare permanent curate și libere de mărfuri sau obstacole;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numirea persoanelor care asigură supravegherea pe timpul evacuării, precum și îndrumarea evacuării persoanelor și a bunurilor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În cazul constatării producerii unui incendiu se va acționa butonul de alarmă cel mai apropiat (marcat distinct deasupra ușii hidranților sau în locurile destinate), prin spargerea geamului de protecție și apăsarea butonului, sau, dacă acesta se află la prea mare distanță, se va anunța imediat prin telefon, indicând locul exact.</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provocate la instalațiile alimentate cu combustibili lichizi sau gazoși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se închide imediat ventilul (robinetul) de alimentare; dacă s-au aprins gazele sau lichidul combustibil chiar la ventil sau la regulatorul de presiune, operația de închidere se va face cu mâna înfășurată într-o cârpă umedă, pentru evitarea arsurilor;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 cazul în care focul a cuprins elementele mai sus menționate, acoperiți întregul loc al supapei cu o prelată umedă care să cuprindă toată partea încinsă (butelie, recipient etc.) și acționați cu stingătorul, proiectând conținutul lui la baza flăcărilor;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dacă lichidul combustibil s-a revărsat, acoperiți imediat suprafața de revărsare cu nisip sau pământ;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atunci când totuși s-au produs explozii ori s-au inflamat gazele aflate într-o încăpere, după salvarea eventualelor victime, închideți ușile încăperilor unde s-a transmis incendiul, după care treceți la stingerea focarelor prin stropirea cu substanță de stingere sau prin batere cu cârpe umede; mobilierul combustibil ce nu poate fi evacuat și este amenințat de flăcări va fi acoperit cu prelate umede.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la instalațiile electrice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chiar dacă aparent flăcările nu sunt vizibile, locul pe unde iese fumul, precum și capacul dozei întrerupătorului sau al prizei care este cald vor indica circuitul care s-a aprins (traseul incendiului);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întrerupeți imediat alimentarea cu energie electrică, prin scoaterea siguranței de la tabloul de distribuție, și numai după aceea treceți la stingerea incendiului;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desfaceți capacul dozei de unde se ramifică circuitul care arde și introduceți sub presiune conținutul stingătorului în tubul de protecție a conductoarelor;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după stingere, este interzisă repunerea instalației sub tensiune înainte ca circuitele să fie verificate și remediate de către electricieni autorizați.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la autovehicule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indiferent unde a izbucnit incendiul, opriți autovehiculul, dacă este posibil în afara părții carosabile, și evacuați persoanele din interior prin ușile existente, iar dacă acestea sunt blocate, deschideți-le forțat sau spargeți geamurile;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întrerupeți curentul prin scoaterea legăturilor de la baterie și treceți la stingerea incendiului folosind stingătorul din dotarea mașinii sau a altor vehicule ce trec pe drum;</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 lipsa stingătoarelor, flăcările ce au cuprins tapițeria, cauciucurile sau instalația electrică pot fi stinse cu apă, sifon, noroi, pământ, zăpadă, prin acoperire cu prelate, pături, haine și chiar prin smulgerea materialelor aprinse, când benzina scursă nu s-a aprins; dacă arderea are loc în apropierea rezervorului de benzină sau motorină, acoperiți-l cu cârpe ude pentru a nu se încălzi;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când s-a spart rezervorul și benzina arde sub autovehicul, împingeți mașina la distanță de câțiva metri de locul respectiv.</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Salvarea oamenilor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odată localizată încăperea cu incendiu, pătrunderea în interior se face pe căile de acces, iar când ușile și ferestrele sunt blocate, prin deschiderea forțată a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dacă încăperile sunt puternic încălzite și inundate de fum, folosiți echipamentul de protecție aferent sau, în lipsa acestuia, aplicați-vă pe față, în dreptul gurii și al nasului, o batistă umedă și mergeți aplecat, deoarece concentrația fumului este mai mică și temperatura mai scăzută la nivelul pardoselii;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deschideți ferestrele pentru evacuarea fumului și căutați copiii în firide, sub obstacole (ei se ascund de frică), iar adulții, la uși, la ferestre și în încăperile necuprinse de flăcări.</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XIV. Primul ajutor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Primul ajutor se acordă neîntârziat, până la sosirea echipajului de urgență, care trebuie chemat prin 112 din primul moment.</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Conduita salvatorului cuprinde, în această ordine: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evaluarea situației: ce s-a întâmplat, câte victime sunt și dacă mai există un pericol pentru victimă, pentru salvator sau pentru alte persoane;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protejarea: salvatorul înlătură pericolul fără să se expună (oprește curentul electric sau utilajul, semnalizează zona, aerisește încăperea) sau, numai dacă pericolul nu poate fi înlăturat, scoate victima din zona periculoasă;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examinarea victimei: dacă răspunde, dacă respiră normal, dacă sângerează abundent;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alertarea: apelarea numărului unic de urgență 112 și anunțarea lucrătorului desemnat să acorde primul ajutor și a conducătorului locului de muncă;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acordarea primului ajutor potrivit stării victimei și supravegherea ei până la preluarea de către echipajul de urgență.</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nu trebuie să devină a doua victimă. Nu intră într-o încăpere cu fum sau gaze, într-un spațiu închis (rezervor, cămin, groapă, siloz), în apă sau într-o zonă cu pericol de prăbușire fără echipament de protecție și fără pregătire pentru aceasta; în aceste situații sună la 112 și așteaptă echipele specializate.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Pentru a se proteja de sânge și de alte lichide ale corpului, salvatorul folosește mănușile din trusa de prim ajutor și se spală pe mâini după intervenție. Își păstrează calmul, acționează repede, dar fără grabă inutilă, și liniștește victima.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apelul 112 se comunică: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locul exact al accidentului (adresa, clădirea, etajul, reperele și intrarea pe care o vor folosi echipajele);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ce s-a întâmplat (cădere, electrocutare, arsură, intoxicație, îmbolnăvire bruscă);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victimelor și starea lor (dacă răspund, dacă respiră, dacă sângerează);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pericolele care persistă (incendiu, gaz, curent electric, substanțe chimice);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de telefon de la care se sună.</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nu închide primul, răspunde la întrebările dispecerului și îi urmează indicațiile. Activează difuzorul telefonului, ca să aibă mâinile libere. Dacă sunt mai multe persoane, una sună la 112, alta aduce trusa de prim ajutor și defibrilatorul, dacă există, iar alta întâmpină echipajul la intrare.</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Examinarea victimei se face rapid, în această ordine: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starea de conștiență: salvatorul scutură ușor victima de umeri și o întreabă tare „Mă auziți? Ce s-a întâmplat?”; dacă victima nu răspunde, cere ajutor și sună imediat la 112;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sângerarea abundentă: dacă victima sângerează abundent, sângerarea se oprește imediat prin apăsare directă pe rană;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căile respiratorii: la victima care nu răspunde, salvatorul pune o mână pe frunte și vârfurile degetelor celeilalte mâini sub bărbie și înclină ușor capul pe spate, ridicând bărbia;</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respirația: salvatorul privește, ascultă și simte, timp de cel mult 10 secunde, dacă victima respiră normal; respirația rară, zgomotoasă, sub formă de gâfâieli sau suspine (respirația agonică) nu este o respirație normală;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la victima care respiră normal se caută alte leziuni (cap, gât, torace, abdomen, bazin, membre), fără a o mișca inutil.</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funcție de rezultatul examinării: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răspunde, este lăsată în poziția în care a fost găsită, dacă acolo nu este în pericol; salvatorul află ce s-a întâmplat și ce o doare, acordă ajutorul necesar, o supraveghează și sună la 112 dacă starea ei o cere;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dar respiră normal, este așezată în poziția laterală de siguranță, cu excepția cazului în care se suspectează o leziune a coloanei, și i se supraveghează continuu respirația;</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și nu respiră normal, se consideră că este în stop cardiac: se începe imediat resuscitarea cardio-pulmonară și se aduce defibrilatorul, dacă există.</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În caz de îndoială, salvatorul presupune că victima este în stop cardiac și începe resuscitarea.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Poziția laterală de siguranță menține libere căile respiratorii ale unei victime care nu răspunde, dar respiră normal, și permite scurgerea din gură a vărsăturilor sau a sângelui. Se execută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îngenunchează lângă victima culcată pe spate, cu ambele picioare întinse;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brațul victimei dinspre el în unghi drept față de corp, cu palma în sus;</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aduce celălalt braț al victimei peste piept și ține dosul palmei acesteia lipit de obrazul dinspre 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cu cealaltă mână, apucă piciorul victimei dinspre partea opusă chiar deasupra genunchiului și îl îndoaie, cu talpa pe sol;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ținând mâna victimei lipită de obraz, trage de genunchiul îndoit și rostogolește victima spre el, pe o parte;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piciorul de deasupra cu șoldul și genunchiul îndoite în unghi drept;</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înclină ușor capul pe spate, ca respirația să rămână liberă, cu fața ușor în jos, și potrivește mâna de sub obraz dacă este nevoie.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se acoperă și i se verifică regulat respirația. Dacă nu mai respiră normal, este întoarsă pe spate și se începe resuscitarea. Victima nu se lasă singură decât dacă este absolut necesar.</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cu respirație agonică și victima cu suspiciune de leziune a coloanei (cădere de la înălțime, lovire puternică) nu se așază în această poziție. Victima cu suspiciune de leziune a coloanei se întoarce pe o parte numai dacă vomită sau dacă respirația nu poate fi menținută liberă altfel, cu ajutorul altor persoane, ținând capul, gâtul și trunchiul în același ax.</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Stopul cardiac înseamnă că inima nu mai pompează sânge. Victima nu răspunde și nu respiră normal; în primele momente poate avea scurte mișcări asemănătoare unei crize convulsive sau respirații agonice. Fără resuscitare, creierul suferă leziuni după câteva minute, iar fiecare minut de întârziere a defibrilării scade șansele de supraviețuire cu aproximativ 10%. De aceea, resuscitarea începe imediat, fără a aștepta ambulanța.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Compresiile toracice se execută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culcată pe spate, pe o suprafață tare; dacă se află într-un pat, resuscitarea începe acolo, cu apăsări mai puternice, fără a pierde timp cu mutarea 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descoperă pieptul victimei dacă hainele îl împiedică să găsească locul corect;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îngenunchează lângă victimă și așază podul unei palme pe jumătatea de jos a sternului („în centrul pieptului”), iar cealaltă palmă peste prima, cu degetele încleștate și ridicate de pe coaste;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ține brațele întinse, cu umerii vertical deasupra pieptului victimei;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apasă pieptul în jos cu cel puțin 5 cm, dar nu mai mult de 6 cm;</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menține un ritm de 100–120 de compresii pe minut;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fiecare compresie lasă pieptul să revină complet, fără să se sprijine pe el și fără să ridice mâinile;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reduce la minimum pauzele dintre compresii.</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instruit care poate și dorește să facă ventilații alternează 30 de compresii cu 2 ventilații (30:2):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deschide căile respiratorii prin înclinarea capului pe spate și ridicarea bărbiei;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închide nasul victimei cu degetul mare și arătătorul mâinii de pe frunte;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o inspirație normală, își lipește buzele în jurul gurii victimei, folosind, dacă există, dispozitivul de respirație gură la gură din trusa de prim ajutor, și suflă constant, aproximativ o secundă, cât să vadă pieptul ridicându-se;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lasă pieptul să coboare și repetă o dată;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reia imediat cele 30 de compresii.</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insuflă doar cât aer este necesar ca pieptul să se ridice. Dacă după două încercări pieptul nu se ridică, salvatorul reia compresiile și are în vedere o posibilă obstrucție a căilor respiratorii cu un corp străin.</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care nu a fost instruit să facă ventilații sau care nu dorește să le facă execută compresii toracice continue, fără întrerupere, cu un ritm de 100–120 pe minut. Dispecerul 112 poate ghida resuscitarea prin telefon.</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Dacă sunt mai mulți salvatori, aceștia se schimbă la compresii aproximativ la fiecare 2 minute, cu o pauză cât mai scurtă, pentru ca oboseala să nu scadă calitatea compresiilor.</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Resuscitarea continuă până când victima își revine (se mișcă, deschide ochii, respiră normal), până când echipajul de urgență preia victima sau până când salvatorul este epuizat. Victima care își revine se așază în poziția laterală de siguranță și se supraveghează.</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Defibrilatorul automat extern (DEA) poate fi folosit de orice persoană, chiar fără instruire: aparatul analizează singur ritmul inimii, dă instrucțiuni vocale și nu administrează șoc dacă acesta nu este necesar. Se folosește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imediat ce DEA este adus, se pornește și i se urmează instrucțiunile; dacă sunt doi salvatori, unul continuă compresiile cât timp celălalt lipește electrozii;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electrozii se lipesc pe pieptul gol și uscat al victimei, ca în desenul de pe ei: unul sub clavicula dreaptă, lângă stern, celălalt pe partea stângă a pieptului, sub axilă;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cât timp aparatul analizează ritmul și când administrează șocul, nimeni nu atinge victima;</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șoc, sau dacă șocul nu este indicat, compresiile se reiau imediat, iar instrucțiunile aparatului se urmează în continuare (de regulă, aparatul reanalizează ritmul la 2 minute);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aparatul nu se oprește și electrozii nu se dezlipesc până la sosirea echipajului de urgență.</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Lucrătorii trebuie să știe unde se află cel mai apropiat defibrilator, la locul de muncă sau în clădirile din apropiere.</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arsurile produse de flacără, de lichide sau obiecte fierbinți ori de abur: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oprește arderea: hainele aprinse se sting prin acoperire cu o pătură, o haină sau o pătură ignifugă ori prin rostogolirea victimei pe sol; victima nu trebuie să alerge;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arsura se răcește imediat cu apă curentă rece sau răcoroasă (nu cu gheață), cel puțin 20 de minute;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 timpul răcirii, inelele, ceasul, brățările și hainele din zona arsă se scot cu grijă, înainte să apară umflarea; hainele lipite de piele nu se smulg;</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răcire, arsura se acoperă lejer cu o compresă sterilă sau cu folie alimentară curată, fără a o strânge;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se ține la cald; la arsurile întinse, răcirea se face cu atenție, pentru a nu produce hipotermie.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 arsură nu se pun gheață, creme, unguente, ulei, pastă de dinți, făină sau alte remedii, iar bășicile nu se sparg.</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Se sună la 112 sau victima este dusă la medic dacă arsura este mai mare decât palma victimei, dacă este profundă (pielea albă, cenușie, tare ca un carton sau carbonizată), dacă afectează fața, gâtul, mâinile, picioarele, articulațiile sau zona genitală, dacă este produsă de curent electric sau de substanțe chimice ori dacă victima a inhalat fum (tuse, voce răgușită, funingine în jurul gurii și al nasului).</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Intoxicația cu gaze sau vapori (monoxid de carbon de la arderi incomplete, gaze de eșapament, gaze de fermentație, vapori de solvenți) ori lipsa oxigenului se suspectează atunci când una sau mai multe persoane din aceeași încăpere acuză durere de cap, amețeală, greață, slăbiciune sau confuzie ori își pierd cunoștința. Monoxidul de carbon nu are miros. Primul ajutor: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nu intră într-o încăpere sau într-un spațiu închis cu gaz sau lipsit de aer, fără aparat de respirat și fără să fie asigurat de o altă persoană; sună la 112;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poate face acest lucru fără risc, deschide ușile și ferestrele și oprește sursa de gaz;</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simte miros de gaz combustibil (gaz natural, GPL), nu aprinde și nu stinge luminile, nu acționează întrerupătoare sau aparate electrice, nu folosește flacără deschisă și nu folosește telefonul în zona cu gaz; sună la 112 dintr-un loc sigur;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scoasă la aer curat se examinează: dacă nu răspunde, dar respiră normal, este așezată în poziția laterală de siguranță; dacă nu respiră normal, se începe resuscitarea;</w:t>
      </w:r>
    </w:p>
    <w:p>
      <w:pPr>
        <w:pStyle w:val="Normal"/>
        <w:widowControl/>
        <w:numPr>
          <w:ilvl w:val="0"/>
          <w:numId w:val="4"/>
        </w:numPr>
        <w:spacing w:before="0" w:after="120"/>
        <w:jc w:val="left"/>
        <w:rPr>
          <w:rFonts w:ascii="Arial" w:hAnsi="Arial" w:cs="Arial"/>
          <w:sz w:val="20"/>
          <w:szCs w:val="20"/>
          <w:lang w:val="ro-RO"/>
        </w:rPr>
      </w:pPr>
      <w:r>
        <w:rPr>
          <w:rStyle w:val="text1"/>
          <w:rFonts w:eastAsia="Arial" w:cs="Arial" w:ascii="Arial" w:hAnsi="Arial"/>
          <w:b w:val="false"/>
          <w:i w:val="false"/>
          <w:color w:val="auto"/>
          <w:spacing w:val="0"/>
          <w:w w:val="100"/>
          <w:sz w:val="20"/>
          <w:szCs w:val="20"/>
          <w:lang w:val="ro-RO"/>
        </w:rPr>
        <w:t>orice persoană intoxicată cu gaze merge la medic, chiar dacă pare să-și fi revenit.</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electrocutare, salvatorul nu atinge victima cât timp aceasta este în contact cu sursa de curent: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întrerupe imediat curentul: scoate ștecherul din priză, oprește siguranța sau întrerupătorul general; dacă victima se află la înălțime, ia măsuri ca ea să nu cadă în momentul întreruperii curentului;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nu poate întrerupe curentul la o instalație de joasă tensiune, îndepărtează victima de sursă cu un obiect uscat din material izolant (lemn, plastic), stând pe o suprafață uscată și izolantă, fără să o atingă direct;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 liniile și instalațiile de înaltă tensiune nu se apropie; sună la 112 și la distribuitorul de energie electrică și așteaptă confirmarea că instalația a fost scoasă de sub tensiune;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întreruperea curentului, examinează victima și, dacă aceasta nu răspunde și nu respiră normal, începe resuscitarea și folosește defibrilatorul;</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arsurile electrice (la locul de intrare și la locul de ieșire a curentului) se răcesc și se acoperă ca arsurile termice.</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Orice persoană electrocutată merge la medic, chiar dacă pare să se simtă bine, deoarece curentul electric poate produce tulburări de ritm ale inimii și leziuni interne care nu se văd.</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XV. Locul de adunare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Locul de adunare a personalului evacuat: {{assemblyPoint}}.</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XVI. Cadrul tehnic</w:t>
      </w:r>
    </w:p>
    <w:p>
      <w:pPr>
        <w:pStyle w:val="Normal"/>
        <w:keepNext w:val="tru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Cadrul tehnic cu atribuții în domeniul apărării împotriva incendiilor, {{fireSafetyTechnician.name}}, reprezentant al {{provider.legalName}}, îndeplinește obligațiile prevăzute de Legea 307/2006 – art. 27 alin. (1), redate în Decizia nr. {{fire.decisionNumbers.technician}}.</w:t>
      </w:r>
    </w:p>
    <w:tbl>
      <w:tblPr>
        <w:tblW w:w="5000" w:type="pct"/>
        <w:jc w:val="left"/>
        <w:tblInd w:w="55" w:type="dxa"/>
        <w:tblLayout w:type="fixed"/>
        <w:tblCellMar>
          <w:top w:w="55" w:type="dxa"/>
          <w:left w:w="55" w:type="dxa"/>
          <w:bottom w:w="55" w:type="dxa"/>
          <w:right w:w="55" w:type="dxa"/>
        </w:tblCellMar>
      </w:tblPr>
      <w:tblGrid>
        <w:gridCol w:w="3118"/>
        <w:gridCol w:w="3118"/>
        <w:gridCol w:w="3119"/>
      </w:tblGrid>
      <w:tr>
        <w:trPr>
          <w:tblHeader w:val="true"/>
        </w:trPr>
        <w:tc>
          <w:tcPr>
            <w:tcW w:w="3118"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Întocmit</w:t>
            </w:r>
          </w:p>
        </w:tc>
        <w:tc>
          <w:tcPr>
            <w:tcW w:w="3118"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Verificat</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Aprobat</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{{#manager}}{{name}}{{/manager}}{{^manager}}—{{/manager}}</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{{fireSafetyTechnician.name}}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{{client.representativeName}}</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Conducătorul locului de muncă</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Cadru tehnic PSI al {{provider.legalName}}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{{client.representativeRole}}</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întocmirii: {{issueDate}}</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verificării: {{issueDate}}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aprobării: {{issueDate}}</w:t>
            </w:r>
          </w:p>
        </w:tc>
      </w:tr>
      <w:tr>
        <w:trPr/>
        <w:tc>
          <w:tcPr>
            <w:tcW w:w="3118" w:type="dxa"/>
            <w:tcBorders>
              <w:left w:val="single" w:sz="4" w:space="0" w:color="000000"/>
              <w:bottom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c>
          <w:tcPr>
            <w:tcW w:w="3118" w:type="dxa"/>
            <w:tcBorders>
              <w:left w:val="single" w:sz="4" w:space="0" w:color="000000"/>
              <w:bottom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c>
          <w:tcPr>
            <w:tcW w:w="3119" w:type="dxa"/>
            <w:tcBorders>
              <w:left w:val="single" w:sz="4" w:space="0" w:color="000000"/>
              <w:bottom w:val="single" w:sz="4" w:space="0" w:color="000000"/>
              <w:right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r>
    </w:tbl>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{{/fire.workplaces}}</w:t>
      </w:r>
    </w:p>
    <w:p>
      <w:pPr>
        <w:pStyle w:val="Normal"/>
        <w:keepNext w:val="false"/>
        <w:widowControl/>
        <w:numPr>
          <w:ilvl w:val="0"/>
          <w:numId w:val="0"/>
        </w:numPr>
        <w:spacing w:before="0" w:after="0"/>
        <w:ind w:hanging="0" w:left="0"/>
        <w:jc w:val="left"/>
        <w:rPr>
          <w:rStyle w:val="text1"/>
          <w:rFonts w:ascii="Arial" w:hAnsi="Arial" w:eastAsia="Arial" w:cs="Arial"/>
          <w:b w:val="false"/>
          <w:i w:val="false"/>
          <w:color w:val="auto"/>
          <w:spacing w:val="0"/>
          <w:w w:val="100"/>
          <w:sz w:val="2"/>
          <w:szCs w:val="20"/>
          <w:lang w:val="ro-RO"/>
        </w:rPr>
      </w:pPr>
      <w:r>
        <w:rPr/>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ourier New">
    <w:charset w:val="01"/>
    <w:family w:val="roman"/>
    <w:pitch w:val="variable"/>
  </w:font>
  <w:font w:name="Wingdings">
    <w:charset w:val="02"/>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libri">
    <w:charset w:val="0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1980"/>
        </w:tabs>
        <w:ind w:left="1980" w:hanging="180"/>
      </w:pPr>
      <w:rPr/>
    </w:lvl>
    <w:lvl w:ilvl="3">
      <w:start w:val="1"/>
      <w:numFmt w:val="decimal"/>
      <w:lvlText w:val="%4."/>
      <w:lvlJc w:val="left"/>
      <w:pPr>
        <w:tabs>
          <w:tab w:val="num" w:pos="2700"/>
        </w:tabs>
        <w:ind w:left="2700" w:hanging="360"/>
      </w:pPr>
      <w:rPr/>
    </w:lvl>
    <w:lvl w:ilvl="4">
      <w:start w:val="1"/>
      <w:numFmt w:val="lowerLetter"/>
      <w:lvlText w:val="%5."/>
      <w:lvlJc w:val="left"/>
      <w:pPr>
        <w:tabs>
          <w:tab w:val="num" w:pos="3420"/>
        </w:tabs>
        <w:ind w:left="3420" w:hanging="360"/>
      </w:pPr>
      <w:rPr/>
    </w:lvl>
    <w:lvl w:ilvl="5">
      <w:start w:val="1"/>
      <w:numFmt w:val="lowerRoman"/>
      <w:lvlText w:val="%6."/>
      <w:lvlJc w:val="right"/>
      <w:pPr>
        <w:tabs>
          <w:tab w:val="num" w:pos="4140"/>
        </w:tabs>
        <w:ind w:left="4140" w:hanging="180"/>
      </w:pPr>
      <w:rPr/>
    </w:lvl>
    <w:lvl w:ilvl="6">
      <w:start w:val="1"/>
      <w:numFmt w:val="decimal"/>
      <w:lvlText w:val="%7."/>
      <w:lvlJc w:val="left"/>
      <w:pPr>
        <w:tabs>
          <w:tab w:val="num" w:pos="4860"/>
        </w:tabs>
        <w:ind w:left="4860" w:hanging="360"/>
      </w:pPr>
      <w:rPr/>
    </w:lvl>
    <w:lvl w:ilvl="7">
      <w:start w:val="1"/>
      <w:numFmt w:val="lowerLetter"/>
      <w:lvlText w:val="%8."/>
      <w:lvlJc w:val="left"/>
      <w:pPr>
        <w:tabs>
          <w:tab w:val="num" w:pos="5580"/>
        </w:tabs>
        <w:ind w:left="5580" w:hanging="360"/>
      </w:pPr>
      <w:rPr/>
    </w:lvl>
    <w:lvl w:ilvl="8">
      <w:start w:val="1"/>
      <w:numFmt w:val="lowerRoman"/>
      <w:lvlText w:val="%9."/>
      <w:lvlJc w:val="right"/>
      <w:pPr>
        <w:tabs>
          <w:tab w:val="num" w:pos="6300"/>
        </w:tabs>
        <w:ind w:left="6300" w:hanging="180"/>
      </w:pPr>
      <w:rPr/>
    </w:lvl>
  </w:abstractNum>
  <w:abstractNum w:abstractNumId="3">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Arial" w:hAnsi="Arial" w:cs="Arial" w:hint="default"/>
        <w:b w:val="false"/>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pPr>
      <w:keepNext w:val="true"/>
      <w:numPr>
        <w:ilvl w:val="0"/>
        <w:numId w:val="1"/>
      </w:numPr>
      <w:outlineLvl w:val="0"/>
    </w:pPr>
    <w:rPr>
      <w:b/>
      <w:bCs/>
      <w:sz w:val="20"/>
      <w:szCs w:val="20"/>
      <w:lang w:val="de-DE"/>
    </w:rPr>
  </w:style>
  <w:style w:type="character" w:styleId="WW8Num1z0">
    <w:name w:val="WW8Num1z0"/>
    <w:rPr>
      <w:b/>
    </w:rPr>
  </w:style>
  <w:style w:type="character" w:styleId="WW8Num2z1">
    <w:name w:val="WW8Num2z1"/>
    <w:rPr>
      <w:b/>
    </w:rPr>
  </w:style>
  <w:style w:type="character" w:styleId="WW8Num3z0">
    <w:name w:val="WW8Num3z0"/>
    <w:rPr>
      <w:rFonts w:ascii="Arial" w:hAnsi="Arial" w:eastAsia="Times New Roman" w:cs="Arial"/>
      <w:b/>
      <w:lang w:val="fr-FR"/>
    </w:rPr>
  </w:style>
  <w:style w:type="character" w:styleId="WW8Num3z1">
    <w:name w:val="WW8Num3z1"/>
    <w:rPr>
      <w:rFonts w:ascii="Courier New" w:hAnsi="Courier New" w:cs="Courier New"/>
    </w:rPr>
  </w:style>
  <w:style w:type="character" w:styleId="WW8Num3z2">
    <w:name w:val="WW8Num3z2"/>
    <w:rPr>
      <w:b/>
      <w:lang w:val="fr-FR"/>
    </w:rPr>
  </w:style>
  <w:style w:type="character" w:styleId="WW8Num3z3">
    <w:name w:val="WW8Num3z3"/>
    <w:rPr>
      <w:b/>
      <w:lang w:val="it-IT"/>
    </w:rPr>
  </w:style>
  <w:style w:type="character" w:styleId="WW8Num4z0">
    <w:name w:val="WW8Num4z0"/>
    <w:rPr>
      <w:rFonts w:ascii="Arial" w:hAnsi="Arial" w:eastAsia="Times New Roman" w:cs="Arial"/>
      <w:b/>
    </w:rPr>
  </w:style>
  <w:style w:type="character" w:styleId="WW8Num4z1">
    <w:name w:val="WW8Num4z1"/>
    <w:rPr>
      <w:rFonts w:ascii="Arial" w:hAnsi="Arial" w:eastAsia="Times New Roman" w:cs="Arial"/>
      <w:b/>
      <w:lang w:val="fr-FR"/>
    </w:rPr>
  </w:style>
  <w:style w:type="character" w:styleId="WW8Num4z2">
    <w:name w:val="WW8Num4z2"/>
    <w:rPr>
      <w:rFonts w:ascii="Times New Roman" w:hAnsi="Times New Roman" w:cs="Times New Roman"/>
      <w:b/>
      <w:i w:val="false"/>
      <w:sz w:val="18"/>
      <w:szCs w:val="18"/>
    </w:rPr>
  </w:style>
  <w:style w:type="character" w:styleId="WW8Num4z3">
    <w:name w:val="WW8Num4z3"/>
    <w:rPr>
      <w:b/>
    </w:rPr>
  </w:style>
  <w:style w:type="character" w:styleId="WW8Num4z4">
    <w:name w:val="WW8Num4z4"/>
    <w:rPr>
      <w:rFonts w:ascii="Courier New" w:hAnsi="Courier New" w:cs="Courier New"/>
    </w:rPr>
  </w:style>
  <w:style w:type="character" w:styleId="WW8Num4z5">
    <w:name w:val="WW8Num4z5"/>
    <w:rPr>
      <w:rFonts w:ascii="Wingdings" w:hAnsi="Wingdings" w:cs="Wingdings"/>
    </w:rPr>
  </w:style>
  <w:style w:type="character" w:styleId="WW8Num4z6">
    <w:name w:val="WW8Num4z6"/>
    <w:rPr>
      <w:rFonts w:ascii="Symbol" w:hAnsi="Symbol" w:cs="Symbol"/>
    </w:rPr>
  </w:style>
  <w:style w:type="character" w:styleId="WW8Num5z0">
    <w:name w:val="WW8Num5z0"/>
    <w:rPr>
      <w:rFonts w:ascii="Arial" w:hAnsi="Arial" w:eastAsia="Times New Roman" w:cs="Arial"/>
      <w:b/>
      <w:lang w:val="it-IT"/>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Times New Roman" w:hAnsi="Times New Roman" w:cs="Times New Roman"/>
      <w:b/>
      <w:i w:val="false"/>
      <w:sz w:val="18"/>
      <w:szCs w:val="18"/>
    </w:rPr>
  </w:style>
  <w:style w:type="character" w:styleId="WW8Num6z1">
    <w:name w:val="WW8Num6z1"/>
    <w:rPr>
      <w:b/>
      <w:i w:val="false"/>
      <w:sz w:val="18"/>
      <w:szCs w:val="18"/>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6z4">
    <w:name w:val="WW8Num6z4"/>
    <w:rPr>
      <w:rFonts w:ascii="Courier New" w:hAnsi="Courier New" w:cs="Courier New"/>
    </w:rPr>
  </w:style>
  <w:style w:type="character" w:styleId="WW8Num7z0">
    <w:name w:val="WW8Num7z0"/>
    <w:rPr>
      <w:b/>
    </w:rPr>
  </w:style>
  <w:style w:type="character" w:styleId="WW8Num8z0">
    <w:name w:val="WW8Num8z0"/>
    <w:rPr>
      <w:b/>
    </w:rPr>
  </w:style>
  <w:style w:type="character" w:styleId="WW8Num8z2">
    <w:name w:val="WW8Num8z2"/>
    <w:rPr>
      <w:rFonts w:ascii="Times New Roman" w:hAnsi="Times New Roman" w:cs="Times New Roman"/>
      <w:b/>
      <w:i w:val="false"/>
      <w:sz w:val="18"/>
      <w:szCs w:val="18"/>
    </w:rPr>
  </w:style>
  <w:style w:type="character" w:styleId="WW8Num9z0">
    <w:name w:val="WW8Num9z0"/>
    <w:rPr>
      <w:b/>
    </w:rPr>
  </w:style>
  <w:style w:type="character" w:styleId="WW8Num10z0">
    <w:name w:val="WW8Num10z0"/>
    <w:rPr>
      <w:rFonts w:ascii="Arial" w:hAnsi="Arial" w:cs="Arial"/>
      <w:b/>
      <w:i w:val="false"/>
      <w:sz w:val="20"/>
      <w:szCs w:val="20"/>
    </w:rPr>
  </w:style>
  <w:style w:type="character" w:styleId="WW8Num11z0">
    <w:name w:val="WW8Num11z0"/>
    <w:rPr>
      <w:b/>
    </w:rPr>
  </w:style>
  <w:style w:type="character" w:styleId="WW8Num11z1">
    <w:name w:val="WW8Num11z1"/>
    <w:rPr>
      <w:rFonts w:ascii="Arial" w:hAnsi="Arial" w:eastAsia="Times New Roman" w:cs="Arial"/>
    </w:rPr>
  </w:style>
  <w:style w:type="character" w:styleId="WW8Num12z0">
    <w:name w:val="WW8Num12z0"/>
    <w:rPr>
      <w:rFonts w:ascii="Arial" w:hAnsi="Arial" w:eastAsia="Times New Roman" w:cs="Aria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Times New Roman" w:hAnsi="Times New Roman" w:cs="Times New Roman"/>
      <w:b/>
      <w:i w:val="false"/>
      <w:sz w:val="18"/>
      <w:szCs w:val="18"/>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b/>
    </w:rPr>
  </w:style>
  <w:style w:type="character" w:styleId="WW8Num15z0">
    <w:name w:val="WW8Num15z0"/>
    <w:rPr>
      <w:rFonts w:ascii="Arial" w:hAnsi="Arial" w:eastAsia="Times New Roman" w:cs="Arial"/>
      <w:b/>
    </w:rPr>
  </w:style>
  <w:style w:type="character" w:styleId="WW8Num16z0">
    <w:name w:val="WW8Num16z0"/>
    <w:rPr>
      <w:b/>
    </w:rPr>
  </w:style>
  <w:style w:type="character" w:styleId="WW8Num17z0">
    <w:name w:val="WW8Num17z0"/>
    <w:rPr>
      <w:b/>
    </w:rPr>
  </w:style>
  <w:style w:type="character" w:styleId="WW8Num17z1">
    <w:name w:val="WW8Num17z1"/>
    <w:rPr>
      <w:rFonts w:ascii="Times New Roman" w:hAnsi="Times New Roman" w:cs="Times New Roman"/>
      <w:b/>
      <w:i w:val="false"/>
      <w:sz w:val="18"/>
      <w:szCs w:val="18"/>
    </w:rPr>
  </w:style>
  <w:style w:type="character" w:styleId="DefaultParagraphFont">
    <w:name w:val="Default Paragraph Font"/>
    <w:rPr/>
  </w:style>
  <w:style w:type="character" w:styleId="text1">
    <w:name w:val="text1"/>
    <w:rPr>
      <w:rFonts w:ascii="Arial" w:hAnsi="Arial" w:cs="Arial"/>
      <w:sz w:val="24"/>
      <w:szCs w:val="24"/>
    </w:rPr>
  </w:style>
  <w:style w:type="character" w:styleId="tpa1">
    <w:name w:val="tpa1"/>
    <w:basedOn w:val="DefaultParagraphFont"/>
    <w:rPr/>
  </w:style>
  <w:style w:type="character" w:styleId="li1">
    <w:name w:val="li1"/>
    <w:rPr>
      <w:b/>
      <w:bCs/>
    </w:rPr>
  </w:style>
  <w:style w:type="character" w:styleId="tli1">
    <w:name w:val="tli1"/>
    <w:basedOn w:val="DefaultParagraphFont"/>
    <w:rPr/>
  </w:style>
  <w:style w:type="character" w:styleId="Heading1Char">
    <w:name w:val="Heading 1 Char"/>
    <w:rPr>
      <w:b/>
      <w:bCs/>
      <w:lang w:val="de-DE"/>
    </w:rPr>
  </w:style>
  <w:style w:type="character" w:styleId="PageNumber">
    <w:name w:val="page number"/>
    <w:basedOn w:val="DefaultParagraphFont"/>
    <w:rPr/>
  </w:style>
  <w:style w:type="character" w:styleId="tal1">
    <w:name w:val="tal1"/>
    <w:basedOn w:val="DefaultParagraphFont"/>
    <w:rPr/>
  </w:style>
  <w:style w:type="character" w:styleId="ArticleLabel">
    <w:name w:val="ArticleLabel"/>
    <w:rPr>
      <w:rFonts w:ascii="Arial" w:hAnsi="Arial"/>
      <w:b/>
      <w:sz w:val="20"/>
    </w:rPr>
  </w:style>
  <w:style w:type="character" w:styleId="DashLabel">
    <w:name w:val="DashLabel"/>
    <w:rPr>
      <w:rFonts w:ascii="Arial" w:hAnsi="Arial"/>
      <w:b w:val="false"/>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ListParagraph">
    <w:name w:val="List Paragraph"/>
    <w:basedOn w:val="Normal"/>
    <w:pPr>
      <w:spacing w:lineRule="auto" w:line="276" w:before="0" w:after="200"/>
      <w:ind w:hanging="0" w:left="720" w:right="0"/>
      <w:contextualSpacing/>
    </w:pPr>
    <w:rPr>
      <w:rFonts w:ascii="Calibri" w:hAnsi="Calibri" w:eastAsia="Calibri" w:cs="Calibri"/>
      <w:sz w:val="22"/>
      <w:szCs w:val="22"/>
      <w:lang w:val="ro-RO"/>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Articles">
    <w:name w:val="Articles"/>
  </w:style>
  <w:style w:type="numbering" w:styleId="Dashes">
    <w:name w:val="Dash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LibreOffice/26.8.0.3$Linux_AARCH64 LibreOffice_project/680$Build-3</Application>
  <AppVersion>15.0000</AppVersion>
  <Pages>15</Pages>
  <Words>7459</Words>
  <Characters>46745</Characters>
  <CharactersWithSpaces>53781</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2024-03-04T10:21:00Z</dcterms:created>
  <dc:creator/>
  <dc:description/>
  <dc:language>ro-RO</dc:language>
  <cp:lastModifiedBy/>
  <cp:lastPrinted>2024-03-04T15:20:00Z</cp:lastPrinted>
  <dcterms:modified xsi:type="dcterms:W3CDTF">2026-10-10T18:47:12Z</dcterms:modified>
  <cp:revision>6</cp:revision>
  <dc:subject/>
  <dc:title/>
</cp:coreProperties>
</file>