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permanenta și corectă a sistemelor și dispozitivelor de protecție, a aparaturii de măsura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expunere la riscuri profesionale, pentru a fi predate </w:t>
      </w: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ordonanța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(Preluare din HG 767/2016 – Art. II, pct.1)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același nivel cu lumina verde normală a semaforului, sub forma unei săgeți verzi pe fond negru, cu vârful spre dreapta, aprinderea acesteia semnifica permisiunea pentru vehicule de a-și continua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