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securității și sănătății în muncă, 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Efectuarea instruirilor în domeniul securității și sănătății în muncă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Persoanele care fac parte din echipa de identificare și evaluare a riscurilor de accidentare și îmbolnăvire profesională pentru locurile de muncă încadrate și care desfășoară aceste activități în cadrul orelor de program;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Aplicarea măsurilor de prim ajutor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Numirea lucrătorilor desemnați cu luarea măsurilor în caz de pericol grav și iminent;</w:t>
      </w:r>
    </w:p>
    <w:p>
      <w:pPr>
        <w:pStyle w:val="Normal"/>
        <w:keepNext w:val="false"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{{#workersRepresentativeDecision}}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Desemnarea reprezentanților lucrătorilor cu răspunderi specifice în domeniul securității și sănătății în muncă;</w:t>
      </w:r>
    </w:p>
    <w:p>
      <w:pPr>
        <w:pStyle w:val="Normal"/>
        <w:keepNext w:val="false"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{{/workersRepresentativeDecision}}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2026-09-22T23:04:53Z</dcterms:modified>
  <cp:revision>1</cp:revision>
  <dc:subject/>
  <dc:title/>
</cp:coreProperties>
</file>