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300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32"/>
          <w:szCs w:val="32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32"/>
          <w:szCs w:val="32"/>
          <w:lang w:val="ro-RO"/>
        </w:rPr>
        <w:t xml:space="preserve">FIȘĂ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de instructaj în domeniul situațiilor de urgență</w:t>
      </w:r>
    </w:p>
    <w:p>
      <w:pPr>
        <w:pStyle w:val="Normal"/>
        <w:keepNext w:val="false"/>
        <w:pageBreakBefore w:val="false"/>
        <w:widowControl/>
        <w:bidi w:val="0"/>
        <w:spacing w:before="0" w:after="120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la dispozițiile generale aprobate prin OMAI 712/2005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400"/>
        <w:gridCol w:w="6955"/>
      </w:tblGrid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Marca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240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ATENȚIE!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9355"/>
      </w:tblGrid>
      <w:tr>
        <w:trPr>
          <w:cantSplit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240" w:after="24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Nicio persoană nu va fi admisă la lucru fără efectuarea instructajului introductiv general și a instructajului la locul de muncă.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Date personale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Studii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{{employee.education}}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 (specialitatea, 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Instructaj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1. Instructajul introductiv general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67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 Instructajul la locul de muncă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{{hiring.workplace.occupation}}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677"/>
        <w:gridCol w:w="4678"/>
      </w:tblGrid>
      <w:tr>
        <w:trPr>
          <w:cantSplit/>
          <w:trHeight w:val="680" w:hRule="atLeast"/>
        </w:trPr>
        <w:tc>
          <w:tcPr>
            <w:tcW w:w="467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67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67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  <w:tc>
          <w:tcPr>
            <w:tcW w:w="467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3. Admis la lucru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Instructaj periodic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600"/>
        <w:gridCol w:w="1100"/>
        <w:gridCol w:w="1500"/>
        <w:gridCol w:w="2855"/>
        <w:gridCol w:w="800"/>
        <w:gridCol w:w="1250"/>
        <w:gridCol w:w="1250"/>
      </w:tblGrid>
      <w:tr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crt.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Specialitatea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(ore)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instruit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{{#periodic}}{{$index}}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{{heldOn}}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{{trainer}}{{/periodic}}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