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Fonts w:ascii="Arial" w:hAnsi="Arial" w:cs="Arial"/>
          <w:b/>
          <w:lang w:val="it-IT"/>
        </w:rPr>
      </w:pPr>
      <w:r>
        <w:rPr>
          <w:rFonts w:eastAsia="Arial" w:cs="Arial" w:ascii="Arial" w:hAnsi="Arial"/>
          <w:b/>
          <w:color w:val="auto"/>
          <w:spacing w:val="0"/>
          <w:w w:val="100"/>
          <w:sz w:val="24"/>
          <w:szCs w:val="20"/>
          <w:lang w:val="ro-RO" w:eastAsia="en-US"/>
        </w:rPr>
        <w:t>REGULAMENT INTERN PRIVIND CONTROLUL PROPRIU AL RESPECTĂRII PREVEDERILOR LEGALE, A DISPOZIȚIILOR, INSTRUCȚIUNILOR ȘI REGLEMENTĂRILOR INTERNE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În baza prevederilor Legii 319/2006 – Art. 13 lit. f) și a prevederilor H.G. 1425/2006 – Art. 15 alin. (1), punctele 5, 17 și 29 se reglementează controlul propriu al respectării </w:t>
      </w:r>
      <w:r>
        <w:rPr>
          <w:rFonts w:eastAsia="Arial" w:cs="Arial" w:ascii="Arial" w:hAnsi="Arial"/>
          <w:color w:val="auto"/>
          <w:spacing w:val="0"/>
          <w:w w:val="100"/>
          <w:sz w:val="20"/>
          <w:szCs w:val="20"/>
          <w:lang w:val="ro-RO" w:eastAsia="en-US"/>
        </w:rPr>
        <w:t xml:space="preserve">prevederilor legale, a dispozițiilor, instrucțiunilor și reglementărilor interne în domeniul securității și sănătății în muncă</w:t>
      </w:r>
      <w:r>
        <w:rPr>
          <w:rFonts w:eastAsia="Arial" w:cs="Arial" w:ascii="Arial" w:hAnsi="Arial"/>
          <w:color w:val="auto"/>
          <w:spacing w:val="0"/>
          <w:w w:val="100"/>
          <w:sz w:val="20"/>
          <w:szCs w:val="20"/>
          <w:lang w:val="ro-RO"/>
        </w:rPr>
        <w:t xml:space="preserve"> pe teritoriul {{client.legalName}}.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Serviciul intern sau extern de prevenire și protecție întocmește anual un grafic pentru efectuarea controlului de către structurile cu atribuții de prevenire și protecție și șefii locurilor de muncă pentru prevenirea accidentelor de muncă și a bolilor profesionale.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Prin structuri cu atribuții de prevenire și protecție se înțeleg lucrătorii desemnați și serviciul intern sau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Graficul pentru controlul intern de prevenire și protecție se aprobă de către angajator și este parte componentă a acestui regulament (Tabel 1).</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Periodicitatea controalelor interne în domeniul securității și sănătății în muncă este stabilită astfel:</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 xml:space="preserve">Serviciul extern de prevenire și protecție va efectua controale interne ori de câte ori consideră necesară efectuarea unui control intern, dar perioada de timp între două controale nu va depăși 3 luni;</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Serviciul intern de prevenire și protecție prin lucrătorul desemnat va efectua controale interne ori de câte ori consideră necesară efectuarea unui control intern, dar perioada de timp între două controale nu va depăși 30 de zile calendaristice;</w:t>
      </w:r>
    </w:p>
    <w:p>
      <w:pPr>
        <w:pStyle w:val="Normal"/>
        <w:widowControl/>
        <w:numPr>
          <w:ilvl w:val="0"/>
          <w:numId w:val="2"/>
        </w:numPr>
        <w:spacing w:before="0" w:after="120"/>
        <w:jc w:val="left"/>
        <w:rPr>
          <w:rFonts w:ascii="Arial" w:hAnsi="Arial" w:cs="Arial"/>
          <w:lang w:val="fr-FR"/>
        </w:rPr>
      </w:pPr>
      <w:r>
        <w:rPr>
          <w:rFonts w:eastAsia="Arial" w:cs="Arial" w:ascii="Arial" w:hAnsi="Arial"/>
          <w:color w:val="auto"/>
          <w:spacing w:val="0"/>
          <w:w w:val="100"/>
          <w:sz w:val="20"/>
          <w:szCs w:val="20"/>
          <w:lang w:val="ro-RO"/>
        </w:rPr>
        <w:t xml:space="preserve">șefii locurilor de muncă vor efectua controale interne săptămânale vizuale la locurile de muncă pe care le conduc și în zona în care își desfășoară activitatea și vor transmite neregulile constatate către șeful ierarhic superior și/ sau către angajator sau persoana desemnată de acesta.</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Controalele interne efectuate de către lucrătorul desemnat sau de către serviciul intern sau extern de prevenire și protecție se finalizează printr-un proces-verbal de control sau referat în care se consemnează următoarele:</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zonele cuprinse în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tematica de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constatările rezultate din teren;</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propuneri de acțiuni și măsuri de înlăturare a neregulilor și de îmbunătățire a situației constatate;</w:t>
      </w:r>
    </w:p>
    <w:p>
      <w:pPr>
        <w:pStyle w:val="Normal"/>
        <w:widowControl/>
        <w:numPr>
          <w:ilvl w:val="0"/>
          <w:numId w:val="5"/>
        </w:numPr>
        <w:spacing w:before="0" w:after="120"/>
        <w:jc w:val="left"/>
        <w:rPr>
          <w:rFonts w:ascii="Arial" w:hAnsi="Arial" w:cs="Arial"/>
          <w:lang w:val="fr-FR"/>
        </w:rPr>
      </w:pPr>
      <w:r>
        <w:rPr>
          <w:rFonts w:eastAsia="Arial" w:cs="Arial" w:ascii="Arial" w:hAnsi="Arial"/>
          <w:color w:val="auto"/>
          <w:spacing w:val="0"/>
          <w:w w:val="100"/>
          <w:sz w:val="20"/>
          <w:szCs w:val="20"/>
          <w:lang w:val="ro-RO"/>
        </w:rPr>
        <w:t>(dacă este cazul) fotografii cu constatările efectuate.</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Șefii locurilor de muncă vor efectua următoarele activități de verificare și control:</w:t>
      </w:r>
    </w:p>
    <w:p>
      <w:pPr>
        <w:pStyle w:val="Normal"/>
        <w:keepNext/>
        <w:widowControl/>
        <w:numPr>
          <w:ilvl w:val="1"/>
          <w:numId w:val="7"/>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 cu privire la modul de muncă al lucrătorilor din subordine:</w:t>
      </w:r>
    </w:p>
    <w:p>
      <w:pPr>
        <w:pStyle w:val="Normal"/>
        <w:widowControl/>
        <w:numPr>
          <w:ilvl w:val="0"/>
          <w:numId w:val="6"/>
        </w:numPr>
        <w:spacing w:before="0" w:after="40"/>
        <w:ind w:hanging="360" w:left="1080"/>
        <w:jc w:val="left"/>
        <w:rPr>
          <w:rFonts w:ascii="Arial" w:hAnsi="Arial" w:cs="Arial"/>
          <w:lang w:val="fr-FR"/>
        </w:rPr>
      </w:pPr>
      <w:r>
        <w:rPr>
          <w:rFonts w:eastAsia="Arial" w:cs="Arial" w:ascii="Arial" w:hAnsi="Arial"/>
          <w:color w:val="auto"/>
          <w:spacing w:val="0"/>
          <w:w w:val="100"/>
          <w:sz w:val="20"/>
          <w:szCs w:val="20"/>
          <w:lang w:val="ro-RO"/>
        </w:rPr>
        <w:t>dacă cunosc și respectă măsurile de prevenire și protecție din planul de prevenire și protecție și instrucțiunile proprii specifice unității și în mod special specifice activităților pe care le desfășoară;</w:t>
      </w:r>
    </w:p>
    <w:p>
      <w:pPr>
        <w:pStyle w:val="Normal"/>
        <w:widowControl/>
        <w:numPr>
          <w:ilvl w:val="0"/>
          <w:numId w:val="6"/>
        </w:numPr>
        <w:spacing w:before="0" w:after="40"/>
        <w:ind w:hanging="360" w:left="1080"/>
        <w:jc w:val="left"/>
        <w:rPr>
          <w:rFonts w:ascii="Arial" w:hAnsi="Arial" w:cs="Arial"/>
          <w:lang w:val="fr-FR"/>
        </w:rPr>
      </w:pPr>
      <w:r>
        <w:rPr>
          <w:rFonts w:eastAsia="Arial" w:cs="Arial" w:ascii="Arial" w:hAnsi="Arial"/>
          <w:color w:val="auto"/>
          <w:spacing w:val="0"/>
          <w:w w:val="100"/>
          <w:sz w:val="20"/>
          <w:szCs w:val="20"/>
          <w:lang w:val="ro-RO"/>
        </w:rPr>
        <w:t>dacă cunosc și respectă atribuțiile și responsabilitățile ce le revin în domeniul securității și sănătății în muncă stabilite în fișa postului;</w:t>
      </w:r>
    </w:p>
    <w:p>
      <w:pPr>
        <w:pStyle w:val="Normal"/>
        <w:widowControl/>
        <w:numPr>
          <w:ilvl w:val="1"/>
          <w:numId w:val="7"/>
        </w:numPr>
        <w:spacing w:before="0" w:after="120"/>
        <w:jc w:val="left"/>
        <w:rPr>
          <w:rFonts w:ascii="Arial" w:hAnsi="Arial" w:cs="Arial"/>
          <w:lang w:val="fr-FR"/>
        </w:rPr>
      </w:pPr>
      <w:r>
        <w:rPr>
          <w:rFonts w:eastAsia="Arial" w:cs="Arial" w:ascii="Arial" w:hAnsi="Arial"/>
          <w:color w:val="auto"/>
          <w:spacing w:val="0"/>
          <w:w w:val="100"/>
          <w:sz w:val="20"/>
          <w:szCs w:val="20"/>
          <w:lang w:val="ro-RO"/>
        </w:rPr>
        <w:t xml:space="preserve">Verificări cu privire la starea mijloacelor de muncă și modul de funcționare a mijloacelor de muncă (dacă există protecțiile montate, dacă există probleme de funcționare, dacă sistemele de securitate funcționează).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de insecuritate sau neconformitate făcute de șefii locurilor de muncă se aduc la cunoștința serviciului intern sau extern de prevenire și protecție, șefului direct și, dacă este cazul, persoanei responsabile cu întreținerea.</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de insecuritate sau neconformitate făcute de șefii locurilor de muncă, centralizate de serviciul intern sau extern de prevenire și protecție, vor fi prezentate angajatorului periodic (lunar sau trimestrial), într-o sinteză, și, în funcție de importanța încălcării, imediat ce serviciul de prevenire și protecție ia cunoștință de aceasta.</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Șefii locurilor de muncă fac propuneri de sancțiuni și stimulente pentru lucrători pe criteriul îndeplinirii atribuțiilor în domeniul securității și sănătății în muncă. Aceste propuneri vor fi adresate șefului ierarhic superior, serviciului intern sau extern de prevenire și protecție și, în ultimă instanță, angajatorului.</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Șefii locurilor de muncă fac propuneri privind funcționarea în condiții de securitate a echipamentelor de muncă din dotare.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de insecuritate ale echipamentelor de muncă din dotare vor fi transmise de urgență către șeful ierarhic superior, către persoana responsabilă cu întreținerea sau către serviciul intern sau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Șefii locurilor de muncă verifică situația amplasării mijloacelor de semnalizare la locul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privind lipsa, deteriorarea sau necesitatea de noi mijloace de semnalizare vor fi transmise de urgență către șeful ierarhic superior și către serviciul intern sau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Șefii locurilor de muncă urmăresc deficiențele care se manifestă în domeniul securității și sănătății în muncă și care pot cauza accidente de muncă sau boli profesionale.</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Serviciul intern sau extern de prevenire și protecție va efectua următoarele activități de verificare și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S.S.M. (conform cu tematicile de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 xml:space="preserve">respectarea măsurilor de prevenire și protecție și a cerințelor minime în domeniul ISCIR și AMC conform prevederilor art. 15 din H.G. 1425/2006, modificată și completată;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măsurilor propuse în referatele anterioare și termenele de rezolvare (dacă au fost luate măsuri de remediere);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 xml:space="preserve">modul de efectuare a sarcinilor de serviciu de către lucrători cu privire la instrucțiunile proprii de securitate și sănătate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amplasării mijloacelor de semnalizare;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deficiențe care se manifestă în domeniul securității și sănătății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relațiile cu terții privind securitatea și sănătatea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verificările periodice la mijloacele de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eficiența activităților desfășurate avându-se în vedere activitatea de prevenire și protecție;</w:t>
      </w:r>
    </w:p>
    <w:p>
      <w:pPr>
        <w:pStyle w:val="Normal"/>
        <w:widowControl/>
        <w:numPr>
          <w:ilvl w:val="0"/>
          <w:numId w:val="4"/>
        </w:numPr>
        <w:spacing w:before="0" w:after="120"/>
        <w:jc w:val="left"/>
        <w:rPr>
          <w:rFonts w:ascii="Arial" w:hAnsi="Arial" w:cs="Arial"/>
          <w:lang w:val="fr-FR"/>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Serviciul intern sau extern de prevenire și protecție centralizează constatările șefilor locurilor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Trimestrial, activitatea de prevenire și protecție și rezultatul controalelor efectuate de către structurile cu atribuții de prevenire și protecție se analizează în cadrul ședinței Comitetului de securitate și sănătate în muncă, acolo unde acesta este constituit, sau de către angajator.</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Serviciul extern de prevenire și protecție va prezenta TRIMESTRIAL un raport de activitate prin care va sintetiza activitatea desfășurată, constatările făcute și acțiunile viitoare.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Neconformitățile constatate vor fi analizate în cadrul ședințelor Comitetului de securitate și sănătate în muncă, acolo unde acesta este constituit, sau de către angajator, iar măsurile de prevenire și protecție vor fi hotărâte de către angajator, prin consultare cu membrii Comitetului de securitate și sănătate în muncă, acolo unde acesta este constituit, și cu șefii locurilor de muncă.</w:t>
      </w:r>
    </w:p>
    <w:p>
      <w:pPr>
        <w:pStyle w:val="Normal"/>
        <w:widowControl/>
        <w:numPr>
          <w:ilvl w:val="0"/>
          <w:numId w:val="7"/>
        </w:numPr>
        <w:tabs>
          <w:tab w:val="clear" w:pos="720"/>
          <w:tab w:val="left" w:pos="8520" w:leader="none"/>
        </w:tabs>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Măsurile de prevenire și protecție vor fi aduse la cunoștința persoanelor care au legătură cu modul de rezolvare a măsurilor dispuse.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Persoana responsabilă cu întreținerea va efectua inspecții zilnice și săptămânale conform unui grafic propriu și, acolo unde există, conform procedurilor de calitate ale unității.</w:t>
      </w:r>
    </w:p>
    <w:p>
      <w:pPr>
        <w:pStyle w:val="Normal"/>
        <w:keepNext w:val="true"/>
        <w:widowControl/>
        <w:spacing w:before="240" w:after="120"/>
        <w:ind w:hanging="0"/>
        <w:jc w:val="center"/>
        <w:rPr>
          <w:lang w:val="ro-RO"/>
        </w:rPr>
      </w:pPr>
      <w:r>
        <w:rPr>
          <w:rFonts w:eastAsia="Arial" w:cs="Arial" w:ascii="Arial" w:hAnsi="Arial"/>
          <w:b/>
          <w:color w:val="auto"/>
          <w:spacing w:val="0"/>
          <w:w w:val="100"/>
          <w:sz w:val="20"/>
          <w:szCs w:val="20"/>
          <w:lang w:val="ro-RO"/>
        </w:rPr>
        <w:t>Tabel 1. Graficul pentru controlul intern de prevenire și protecție</w:t>
      </w:r>
    </w:p>
    <w:tbl>
      <w:tblPr>
        <w:tblW w:w="5000" w:type="pct"/>
        <w:jc w:val="left"/>
        <w:tblInd w:w="55" w:type="dxa"/>
        <w:tblLayout w:type="fixed"/>
        <w:tblCellMar>
          <w:top w:w="55" w:type="dxa"/>
          <w:left w:w="55" w:type="dxa"/>
          <w:bottom w:w="55" w:type="dxa"/>
          <w:right w:w="55" w:type="dxa"/>
        </w:tblCellMar>
      </w:tblPr>
      <w:tblGrid>
        <w:gridCol w:w="467"/>
        <w:gridCol w:w="1778"/>
        <w:gridCol w:w="1216"/>
        <w:gridCol w:w="1122"/>
        <w:gridCol w:w="398"/>
        <w:gridCol w:w="398"/>
        <w:gridCol w:w="397"/>
        <w:gridCol w:w="398"/>
        <w:gridCol w:w="397"/>
        <w:gridCol w:w="398"/>
        <w:gridCol w:w="398"/>
        <w:gridCol w:w="397"/>
        <w:gridCol w:w="398"/>
        <w:gridCol w:w="397"/>
        <w:gridCol w:w="398"/>
        <w:gridCol w:w="398"/>
      </w:tblGrid>
      <w:tr>
        <w:trPr/>
        <w:tc>
          <w:tcPr>
            <w:tcW w:w="467" w:type="dxa"/>
            <w:vMerge w:val="restart"/>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Nr. crt.</w:t>
            </w:r>
          </w:p>
        </w:tc>
        <w:tc>
          <w:tcPr>
            <w:tcW w:w="1778"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Cine execută controlul intern</w:t>
            </w:r>
          </w:p>
        </w:tc>
        <w:tc>
          <w:tcPr>
            <w:tcW w:w="1216"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Periodicitate control</w:t>
            </w:r>
          </w:p>
        </w:tc>
        <w:tc>
          <w:tcPr>
            <w:tcW w:w="1122"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Sectoare controlate</w:t>
            </w:r>
          </w:p>
        </w:tc>
        <w:tc>
          <w:tcPr>
            <w:tcW w:w="4772" w:type="dxa"/>
            <w:gridSpan w:val="12"/>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Lunile anului {{issueYear}}/{{followingYear}}</w:t>
            </w:r>
          </w:p>
        </w:tc>
      </w:tr>
      <w:tr>
        <w:trPr/>
        <w:tc>
          <w:tcPr>
            <w:tcW w:w="467" w:type="dxa"/>
            <w:vMerge w:val="continue"/>
            <w:tcBorders>
              <w:top w:val="single" w:sz="4" w:space="0" w:color="000000"/>
              <w:left w:val="single" w:sz="4" w:space="0" w:color="000000"/>
              <w:bottom w:val="single" w:sz="4" w:space="0" w:color="000000"/>
            </w:tcBorders>
            <w:vAlign w:val="center"/>
          </w:tcPr>
          <w:p>
            <w:pPr>
              <w:pStyle w:val="TableContents"/>
              <w:keepNext w:val="tru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778"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216"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122"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IV</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XI</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XII</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Angajator</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Anual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2.</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Serviciul extern de prevenire și protecție</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Trimestrial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3.</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Șefii locurilor de muncă</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Săptămânal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Locul de muncă</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r>
    </w:tbl>
    <w:p>
      <w:pPr>
        <w:pStyle w:val="Normal"/>
        <w:widowControl/>
        <w:spacing w:before="0" w:after="0"/>
        <w:ind w:hanging="0"/>
        <w:jc w:val="left"/>
        <w:rPr>
          <w:b w:val="false"/>
          <w:sz w:val="2"/>
          <w:lang w:val="ro-RO"/>
        </w:rPr>
      </w:pPr>
      <w:r>
        <w:rPr>
          <w:rFonts w:eastAsia="Arial" w:cs="Arial" w:ascii="Arial" w:hAnsi="Arial"/>
          <w:b w:val="false"/>
          <w:color w:val="auto"/>
          <w:spacing w:val="0"/>
          <w:w w:val="100"/>
          <w:sz w:val="2"/>
          <w:szCs w:val="20"/>
          <w:lang w:val="ro-RO"/>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813"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Century Gothic">
    <w:charset w:val="01"/>
    <w:family w:val="swiss"/>
    <w:pitch w:val="variable"/>
  </w:font>
  <w:font w:name="Calibri">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 xml:space="preserve">R.I.C.P.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al respectării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 xml:space="preserve">R.I.C.P.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al respectării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 xml:space="preserve">R.I.C.P.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al respectării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Art. %1."/>
      <w:lvlJc w:val="left"/>
      <w:pPr>
        <w:tabs>
          <w:tab w:val="num" w:pos="850"/>
        </w:tabs>
        <w:ind w:left="0" w:hanging="0"/>
      </w:pPr>
      <w:rPr>
        <w:rFonts w:ascii="Arial" w:hAnsi="Arial" w:cs="Arial"/>
        <w:b/>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2z0">
    <w:name w:val="WW8Num2z0"/>
    <w:rPr>
      <w:b/>
    </w:rPr>
  </w:style>
  <w:style w:type="character" w:styleId="WW8Num3z0">
    <w:name w:val="WW8Num3z0"/>
    <w:rPr>
      <w:b/>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6z1">
    <w:name w:val="WW8Num6z1"/>
    <w:rPr>
      <w:rFonts w:ascii="Times New Roman" w:hAnsi="Times New Roman" w:cs="Times New Roman"/>
      <w:sz w:val="24"/>
      <w:szCs w:val="24"/>
    </w:rPr>
  </w:style>
  <w:style w:type="character" w:styleId="WW8Num6z2">
    <w:name w:val="WW8Num6z2"/>
    <w:rPr>
      <w:rFonts w:ascii="Wingdings" w:hAnsi="Wingdings" w:cs="Wingdings"/>
    </w:rPr>
  </w:style>
  <w:style w:type="character" w:styleId="WW8Num6z3">
    <w:name w:val="WW8Num6z3"/>
    <w:rPr>
      <w:rFonts w:ascii="Symbol" w:hAnsi="Symbol" w:cs="Symbol"/>
    </w:rPr>
  </w:style>
  <w:style w:type="character" w:styleId="WW8Num6z4">
    <w:name w:val="WW8Num6z4"/>
    <w:rPr>
      <w:rFonts w:ascii="Courier New" w:hAnsi="Courier New" w:cs="Courier New"/>
    </w:rPr>
  </w:style>
  <w:style w:type="character" w:styleId="WW8Num7z0">
    <w:name w:val="WW8Num7z0"/>
    <w:rPr>
      <w:rFonts w:ascii="Arial" w:hAnsi="Arial" w:cs="Arial"/>
      <w:b/>
      <w:i w:val="false"/>
      <w:sz w:val="20"/>
      <w:szCs w:val="20"/>
    </w:rPr>
  </w:style>
  <w:style w:type="character" w:styleId="WW8Num7z1">
    <w:name w:val="WW8Num7z1"/>
    <w:rPr>
      <w:b/>
    </w:rPr>
  </w:style>
  <w:style w:type="character" w:styleId="WW8Num7z2">
    <w:name w:val="WW8Num7z2"/>
    <w:rPr>
      <w:b/>
      <w:i w:val="false"/>
      <w:sz w:val="20"/>
      <w:szCs w:val="20"/>
    </w:rPr>
  </w:style>
  <w:style w:type="character" w:styleId="WW8Num8z0">
    <w:name w:val="WW8Num8z0"/>
    <w:rPr>
      <w:rFonts w:ascii="Arial" w:hAnsi="Arial" w:cs="Arial"/>
      <w:b/>
      <w:i w:val="false"/>
      <w:spacing w:val="0"/>
      <w:w w:val="100"/>
      <w:kern w:val="2"/>
      <w:position w:val="0"/>
      <w:sz w:val="22"/>
      <w:szCs w:val="22"/>
      <w:vertAlign w:val="baseline"/>
    </w:rPr>
  </w:style>
  <w:style w:type="character" w:styleId="WW8Num8z1">
    <w:name w:val="WW8Num8z1"/>
    <w:rPr>
      <w:lang w:val="fr-FR"/>
    </w:rPr>
  </w:style>
  <w:style w:type="character" w:styleId="WW8Num8z2">
    <w:name w:val="WW8Num8z2"/>
    <w:rPr/>
  </w:style>
  <w:style w:type="character" w:styleId="WW8Num8z5">
    <w:name w:val="WW8Num8z5"/>
    <w:rPr>
      <w:b/>
    </w:rPr>
  </w:style>
  <w:style w:type="character" w:styleId="WW8Num11z0">
    <w:name w:val="WW8Num11z0"/>
    <w:rPr>
      <w:rFonts w:ascii="Symbol" w:hAnsi="Symbol" w:cs="Symbol"/>
    </w:rPr>
  </w:style>
  <w:style w:type="character" w:styleId="WW8Num11z1">
    <w:name w:val="WW8Num11z1"/>
    <w:rPr>
      <w:rFonts w:ascii="Times New Roman" w:hAnsi="Times New Roman" w:cs="Times New Roman"/>
      <w:sz w:val="24"/>
      <w:szCs w:val="24"/>
    </w:rPr>
  </w:style>
  <w:style w:type="character" w:styleId="WW8Num11z2">
    <w:name w:val="WW8Num11z2"/>
    <w:rPr>
      <w:rFonts w:ascii="Wingdings" w:hAnsi="Wingdings" w:cs="Wingdings"/>
    </w:rPr>
  </w:style>
  <w:style w:type="character" w:styleId="WW8Num11z4">
    <w:name w:val="WW8Num11z4"/>
    <w:rPr>
      <w:rFonts w:ascii="Courier New" w:hAnsi="Courier New" w:cs="Courier New"/>
    </w:rPr>
  </w:style>
  <w:style w:type="character" w:styleId="WW8Num12z0">
    <w:name w:val="WW8Num12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cs="Arial"/>
      <w:b/>
      <w:sz w:val="20"/>
      <w:szCs w:val="20"/>
    </w:rPr>
  </w:style>
  <w:style w:type="character" w:styleId="WW8Num17z0">
    <w:name w:val="WW8Num17z0"/>
    <w:rPr>
      <w:b/>
    </w:rPr>
  </w:style>
  <w:style w:type="character" w:styleId="WW8Num17z1">
    <w:name w:val="WW8Num17z1"/>
    <w:rPr>
      <w:rFonts w:ascii="Symbol" w:hAnsi="Symbol" w:cs="Symbol"/>
      <w:b/>
    </w:rPr>
  </w:style>
  <w:style w:type="character" w:styleId="WW8Num18z0">
    <w:name w:val="WW8Num18z0"/>
    <w:rPr>
      <w:rFonts w:ascii="Times New Roman" w:hAnsi="Times New Roman" w:cs="Times New Roman"/>
      <w:b/>
      <w:sz w:val="24"/>
    </w:rPr>
  </w:style>
  <w:style w:type="character" w:styleId="WW8Num19z0">
    <w:name w:val="WW8Num19z0"/>
    <w:rPr/>
  </w:style>
  <w:style w:type="character" w:styleId="WW8Num20z0">
    <w:name w:val="WW8Num20z0"/>
    <w:rPr>
      <w:rFonts w:ascii="Times New Roman" w:hAnsi="Times New Roman" w:eastAsia="Times New Roman" w:cs="Times New Roman"/>
    </w:rPr>
  </w:style>
  <w:style w:type="character" w:styleId="WW8Num20z1">
    <w:name w:val="WW8Num20z1"/>
    <w:rPr>
      <w:rFonts w:ascii="Courier New" w:hAnsi="Courier New" w:cs="Courier New"/>
    </w:rPr>
  </w:style>
  <w:style w:type="character" w:styleId="WW8Num20z2">
    <w:name w:val="WW8Num20z2"/>
    <w:rPr>
      <w:rFonts w:ascii="Wingdings" w:hAnsi="Wingdings" w:cs="Wingdings"/>
    </w:rPr>
  </w:style>
  <w:style w:type="character" w:styleId="WW8Num20z3">
    <w:name w:val="WW8Num20z3"/>
    <w:rPr>
      <w:rFonts w:ascii="Symbol" w:hAnsi="Symbol" w:cs="Symbol"/>
    </w:rPr>
  </w:style>
  <w:style w:type="character" w:styleId="WW8Num22z0">
    <w:name w:val="WW8Num22z0"/>
    <w:rPr>
      <w:b/>
    </w:rPr>
  </w:style>
  <w:style w:type="character" w:styleId="WW8Num23z0">
    <w:name w:val="WW8Num23z0"/>
    <w:rPr>
      <w:rFonts w:ascii="Arial" w:hAnsi="Arial" w:cs="Arial"/>
      <w:b/>
      <w:i w:val="false"/>
      <w:sz w:val="20"/>
      <w:szCs w:val="20"/>
    </w:rPr>
  </w:style>
  <w:style w:type="character" w:styleId="WW8Num24z0">
    <w:name w:val="WW8Num24z0"/>
    <w:rPr>
      <w:b/>
    </w:rPr>
  </w:style>
  <w:style w:type="character" w:styleId="WW8Num25z0">
    <w:name w:val="WW8Num25z0"/>
    <w:rPr>
      <w:b/>
    </w:rPr>
  </w:style>
  <w:style w:type="character" w:styleId="WW8Num26z0">
    <w:name w:val="WW8Num26z0"/>
    <w:rPr>
      <w:b/>
    </w:rPr>
  </w:style>
  <w:style w:type="character" w:styleId="WW8Num27z0">
    <w:name w:val="WW8Num27z0"/>
    <w:rPr>
      <w:rFonts w:ascii="Times New Roman" w:hAnsi="Times New Roman" w:cs="Times New Roman"/>
      <w:b/>
      <w:i w:val="false"/>
      <w:spacing w:val="0"/>
      <w:w w:val="100"/>
      <w:kern w:val="2"/>
      <w:position w:val="0"/>
      <w:sz w:val="24"/>
      <w:szCs w:val="24"/>
      <w:vertAlign w:val="baseline"/>
    </w:rPr>
  </w:style>
  <w:style w:type="character" w:styleId="WW8Num27z1">
    <w:name w:val="WW8Num27z1"/>
    <w:rPr/>
  </w:style>
  <w:style w:type="character" w:styleId="WW8Num30z0">
    <w:name w:val="WW8Num30z0"/>
    <w:rPr>
      <w:rFonts w:ascii="Times New Roman" w:hAnsi="Times New Roman" w:cs="Times New Roman"/>
      <w:b/>
      <w:sz w:val="24"/>
    </w:rPr>
  </w:style>
  <w:style w:type="character" w:styleId="WW8Num31z0">
    <w:name w:val="WW8Num31z0"/>
    <w:rPr>
      <w:rFonts w:ascii="Arial" w:hAnsi="Arial" w:cs="Arial"/>
      <w:b/>
      <w:i w:val="false"/>
      <w:sz w:val="20"/>
      <w:szCs w:val="20"/>
      <w:lang w:val="it-IT"/>
    </w:rPr>
  </w:style>
  <w:style w:type="character" w:styleId="WW8Num32z0">
    <w:name w:val="WW8Num32z0"/>
    <w:rPr>
      <w:rFonts w:ascii="Arial" w:hAnsi="Arial" w:cs="Arial"/>
      <w:b/>
      <w:i w:val="false"/>
      <w:sz w:val="20"/>
      <w:szCs w:val="20"/>
    </w:rPr>
  </w:style>
  <w:style w:type="character" w:styleId="WW8Num32z1">
    <w:name w:val="WW8Num32z1"/>
    <w:rPr>
      <w:rFonts w:ascii="Courier New" w:hAnsi="Courier New" w:cs="Courier New"/>
    </w:rPr>
  </w:style>
  <w:style w:type="character" w:styleId="WW8Num32z2">
    <w:name w:val="WW8Num32z2"/>
    <w:rPr>
      <w:rFonts w:ascii="Wingdings" w:hAnsi="Wingdings" w:cs="Wingdings"/>
    </w:rPr>
  </w:style>
  <w:style w:type="character" w:styleId="WW8Num32z3">
    <w:name w:val="WW8Num32z3"/>
    <w:rPr>
      <w:rFonts w:ascii="Symbol" w:hAnsi="Symbol" w:cs="Symbol"/>
    </w:rPr>
  </w:style>
  <w:style w:type="character" w:styleId="WW8Num33z0">
    <w:name w:val="WW8Num33z0"/>
    <w:rPr>
      <w:b/>
    </w:rPr>
  </w:style>
  <w:style w:type="character" w:styleId="WW8Num35z0">
    <w:name w:val="WW8Num35z0"/>
    <w:rPr>
      <w:rFonts w:ascii="Times New Roman" w:hAnsi="Times New Roman" w:cs="Times New Roman"/>
      <w:b/>
      <w:sz w:val="24"/>
      <w:szCs w:val="24"/>
    </w:rPr>
  </w:style>
  <w:style w:type="character" w:styleId="WW8Num35z1">
    <w:name w:val="WW8Num35z1"/>
    <w:rPr/>
  </w:style>
  <w:style w:type="character" w:styleId="WW8Num36z0">
    <w:name w:val="WW8Num36z0"/>
    <w:rPr>
      <w:b/>
    </w:rPr>
  </w:style>
  <w:style w:type="character" w:styleId="WW8Num38z0">
    <w:name w:val="WW8Num38z0"/>
    <w:rPr>
      <w:rFonts w:ascii="Times New Roman" w:hAnsi="Times New Roman" w:eastAsia="Times New Roman" w:cs="Times New Roman"/>
    </w:rPr>
  </w:style>
  <w:style w:type="character" w:styleId="WW8Num38z1">
    <w:name w:val="WW8Num38z1"/>
    <w:rPr>
      <w:rFonts w:ascii="Courier New" w:hAnsi="Courier New" w:cs="Courier New"/>
    </w:rPr>
  </w:style>
  <w:style w:type="character" w:styleId="WW8Num38z2">
    <w:name w:val="WW8Num38z2"/>
    <w:rPr>
      <w:rFonts w:ascii="Wingdings" w:hAnsi="Wingdings" w:cs="Wingdings"/>
    </w:rPr>
  </w:style>
  <w:style w:type="character" w:styleId="WW8Num38z3">
    <w:name w:val="WW8Num38z3"/>
    <w:rPr>
      <w:rFonts w:ascii="Symbol" w:hAnsi="Symbol" w:cs="Symbol"/>
    </w:rPr>
  </w:style>
  <w:style w:type="character" w:styleId="WW8Num39z0">
    <w:name w:val="WW8Num39z0"/>
    <w:rPr>
      <w:rFonts w:ascii="Times New Roman" w:hAnsi="Times New Roman" w:cs="Times New Roman"/>
      <w:sz w:val="24"/>
    </w:rPr>
  </w:style>
  <w:style w:type="character" w:styleId="WW8Num40z0">
    <w:name w:val="WW8Num40z0"/>
    <w:rPr>
      <w:rFonts w:ascii="Times New Roman" w:hAnsi="Times New Roman" w:cs="Times New Roman"/>
      <w:b/>
      <w:i w:val="false"/>
      <w:sz w:val="22"/>
      <w:szCs w:val="22"/>
      <w:lang w:val="it-IT"/>
    </w:rPr>
  </w:style>
  <w:style w:type="character" w:styleId="WW8Num40z1">
    <w:name w:val="WW8Num40z1"/>
    <w:rPr>
      <w:rFonts w:ascii="Times New Roman" w:hAnsi="Times New Roman" w:eastAsia="Times New Roman" w:cs="Times New Roman"/>
      <w:b/>
      <w:i w:val="false"/>
      <w:sz w:val="22"/>
      <w:szCs w:val="22"/>
    </w:rPr>
  </w:style>
  <w:style w:type="character" w:styleId="WW8Num40z2">
    <w:name w:val="WW8Num40z2"/>
    <w:rPr>
      <w:b/>
      <w:i w:val="false"/>
      <w:sz w:val="22"/>
      <w:szCs w:val="22"/>
    </w:rPr>
  </w:style>
  <w:style w:type="character" w:styleId="WW8Num40z3">
    <w:name w:val="WW8Num40z3"/>
    <w:rPr>
      <w:b w:val="false"/>
      <w:i w:val="false"/>
      <w:sz w:val="22"/>
      <w:szCs w:val="22"/>
    </w:rPr>
  </w:style>
  <w:style w:type="character" w:styleId="WW8Num41z0">
    <w:name w:val="WW8Num41z0"/>
    <w:rPr>
      <w:b/>
    </w:rPr>
  </w:style>
  <w:style w:type="character" w:styleId="WW8Num42z0">
    <w:name w:val="WW8Num42z0"/>
    <w:rPr/>
  </w:style>
  <w:style w:type="character" w:styleId="WW8Num43z0">
    <w:name w:val="WW8Num43z0"/>
    <w:rPr>
      <w:b/>
    </w:rPr>
  </w:style>
  <w:style w:type="character" w:styleId="WW8Num45z0">
    <w:name w:val="WW8Num45z0"/>
    <w:rPr>
      <w:rFonts w:ascii="Arial" w:hAnsi="Arial" w:cs="Arial"/>
      <w:b/>
      <w:i w:val="false"/>
      <w:sz w:val="18"/>
      <w:szCs w:val="18"/>
    </w:rPr>
  </w:style>
  <w:style w:type="character" w:styleId="WW8Num45z1">
    <w:name w:val="WW8Num45z1"/>
    <w:rPr>
      <w:b/>
      <w:i w:val="false"/>
      <w:sz w:val="18"/>
      <w:szCs w:val="18"/>
    </w:rPr>
  </w:style>
  <w:style w:type="character" w:styleId="WW8NumSt18z0">
    <w:name w:val="WW8NumSt18z0"/>
    <w:rPr>
      <w:rFonts w:ascii="Arial" w:hAnsi="Arial" w:cs="Arial"/>
      <w:b/>
      <w:i w:val="false"/>
      <w:sz w:val="22"/>
      <w:szCs w:val="22"/>
      <w:lang w:val="ro-RO"/>
    </w:rPr>
  </w:style>
  <w:style w:type="character" w:styleId="WW8NumSt20z0">
    <w:name w:val="WW8NumSt20z0"/>
    <w:rPr>
      <w:rFonts w:ascii="Times New Roman" w:hAnsi="Times New Roman" w:cs="Times New Roman"/>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tpta1">
    <w:name w:val="tpt_a1"/>
    <w:rPr>
      <w:strike/>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ListParagraph">
    <w:name w:val="List Paragraph"/>
    <w:basedOn w:val="Normal"/>
    <w:pPr>
      <w:spacing w:lineRule="auto" w:line="276" w:before="0" w:after="200"/>
      <w:ind w:hanging="0" w:left="720" w:right="0"/>
      <w:contextualSpacing/>
    </w:pPr>
    <w:rPr>
      <w:rFonts w:ascii="Calibri" w:hAnsi="Calibri" w:eastAsia="Calibri" w:cs="Calibri"/>
      <w:sz w:val="22"/>
      <w:szCs w:val="22"/>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TotalTime>
  <Application>LibreOffice/26.8.0.3$Linux_AARCH64 LibreOffice_project/680$Build-3</Application>
  <AppVersion>15.0000</AppVersion>
  <Pages>3</Pages>
  <Words>1876</Words>
  <Characters>12797</Characters>
  <CharactersWithSpaces>14435</CharactersWithSpaces>
  <Paragraphs>299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2024-03-04T10:33:00Z</dcterms:created>
  <dc:creator>Bebe</dc:creator>
  <dc:description/>
  <dc:language>en-US</dc:language>
  <cp:lastModifiedBy/>
  <cp:lastPrinted>2024-02-08T11:39:00Z</cp:lastPrinted>
  <dcterms:modified xsi:type="dcterms:W3CDTF">2026-09-19T01:22:18Z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