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319/2006 (Legea securității și sănătății în muncă), respectiv cu art. 15 alin. (1) pct. 6 și art. 88 din H.G. 1425/2006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eastAsia="ro-RO"/>
        </w:rPr>
        <w:t xml:space="preserve">Legea 319/2006 – Art. 1, 3, 5 – 7, 9 – 36;</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eastAsia="ro-RO"/>
        </w:rPr>
        <w:t xml:space="preserve">H.G. 1425/2006 – Art. 2, 14, 15, 28 – 31, 52 – 56, 74 – 100, 108 – 115, 116¹, 117, 118, 120, 121, 139, 141, 142;</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eastAsia="ro-RO"/>
        </w:rPr>
        <w:t xml:space="preserve">Legea 53/2003 (actualizată) – Art. 37 – 40, 111 – 132, 134, 135, 137, 138, 175 – 182, 186 – 190;</w:t>
      </w:r>
    </w:p>
    <w:p>
      <w:pPr>
        <w:pStyle w:val="Normal"/>
        <w:widowControl/>
        <w:numPr>
          <w:ilvl w:val="0"/>
          <w:numId w:val="36"/>
        </w:numPr>
        <w:spacing w:before="0" w:after="40"/>
        <w:jc w:val="left"/>
        <w:rPr>
          <w:rFonts w:ascii="Arial" w:hAnsi="Arial" w:cs="Arial"/>
          <w:i/>
          <w:sz w:val="20"/>
          <w:szCs w:val="20"/>
          <w:lang w:val="ro-RO" w:eastAsia="ro-RO"/>
        </w:rPr>
      </w:pPr>
      <w:r>
        <w:rPr>
          <w:rFonts w:ascii="Arial" w:hAnsi="Arial" w:cs="Arial" w:eastAsia="Arial"/>
          <w:color w:val="auto"/>
          <w:sz w:val="20"/>
          <w:szCs w:val="20"/>
          <w:lang w:val="ro-RO"/>
        </w:rPr>
        <w:t xml:space="preserve">Codul penal (Legea 286/2009) – Art. 349, 350;</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H.G. 971/2006 –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H.G. 355/2007 – Art. 2, 5, 7 – 25, 27, 28, 30 – 34, 36, 37, 39 – 47;</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H.G. 1091/2006 – Art. 2, 4, 5, 8, 9, 11, Anexa 2;</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O.U.G. 99/2000 – Art. 1, 3 – 6, 8, 9;</w:t>
      </w:r>
    </w:p>
    <w:p>
      <w:pPr>
        <w:pStyle w:val="Normal"/>
        <w:widowControl/>
        <w:numPr>
          <w:ilvl w:val="0"/>
          <w:numId w:val="36"/>
        </w:numPr>
        <w:spacing w:before="0" w:after="40"/>
        <w:jc w:val="left"/>
        <w:rPr>
          <w:rFonts w:ascii="Arial" w:hAnsi="Arial" w:cs="Arial"/>
          <w:i/>
          <w:sz w:val="20"/>
          <w:szCs w:val="20"/>
          <w:lang w:val="ro-RO" w:eastAsia="ro-RO"/>
        </w:rPr>
      </w:pPr>
      <w:r>
        <w:rPr>
          <w:rFonts w:ascii="Arial" w:hAnsi="Arial" w:cs="Arial" w:eastAsia="Arial"/>
          <w:color w:val="auto"/>
          <w:sz w:val="20"/>
          <w:szCs w:val="20"/>
          <w:lang w:val="ro-RO"/>
        </w:rPr>
        <w:t xml:space="preserve">H.G. 1048/2006 (republicată) – Art. 3 – 7, 11 – 14;</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Ordinul 427/2002 – Anexele 2, 3;</w:t>
      </w:r>
    </w:p>
    <w:p>
      <w:pPr>
        <w:pStyle w:val="Normal"/>
        <w:widowControl/>
        <w:numPr>
          <w:ilvl w:val="0"/>
          <w:numId w:val="36"/>
        </w:numPr>
        <w:spacing w:before="0" w:after="40"/>
        <w:jc w:val="left"/>
        <w:rPr>
          <w:rFonts w:ascii="Arial" w:hAnsi="Arial" w:cs="Arial"/>
          <w:i/>
          <w:sz w:val="20"/>
          <w:szCs w:val="20"/>
          <w:lang w:val="ro-RO" w:eastAsia="ro-RO"/>
        </w:rPr>
      </w:pPr>
      <w:r>
        <w:rPr>
          <w:rFonts w:ascii="Arial" w:hAnsi="Arial" w:cs="Arial" w:eastAsia="Arial"/>
          <w:color w:val="auto"/>
          <w:sz w:val="20"/>
          <w:szCs w:val="20"/>
          <w:lang w:val="ro-RO"/>
        </w:rPr>
        <w:t xml:space="preserve">Legea 95/2006 (republicată) – Art. 92 – 94;</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Legea 346/2002 – Art. 1 – 5, 7, 14, 18, 22 – 24, 29 – 49;</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rPr>
        <w:t xml:space="preserve">Ordinul 450/825/2006</w:t>
      </w:r>
      <w:r>
        <w:rPr>
          <w:rFonts w:eastAsia="Arial" w:cs="Arial" w:ascii="Arial" w:hAnsi="Arial"/>
          <w:bCs/>
          <w:i/>
          <w:color w:val="auto"/>
          <w:spacing w:val="0"/>
          <w:w w:val="100"/>
          <w:sz w:val="20"/>
          <w:szCs w:val="20"/>
          <w:lang w:val="ro-RO"/>
        </w:rPr>
        <w:t xml:space="preserve"> – Art. 28;</w:t>
      </w:r>
    </w:p>
    <w:p>
      <w:pPr>
        <w:pStyle w:val="Normal"/>
        <w:widowControl/>
        <w:numPr>
          <w:ilvl w:val="0"/>
          <w:numId w:val="36"/>
        </w:numPr>
        <w:spacing w:before="0" w:after="40"/>
        <w:jc w:val="left"/>
        <w:rPr>
          <w:rStyle w:val="tli1"/>
          <w:rFonts w:ascii="Arial" w:hAnsi="Arial" w:cs="Arial"/>
          <w:i/>
          <w:sz w:val="20"/>
          <w:szCs w:val="20"/>
          <w:lang w:val="ro-RO"/>
        </w:rPr>
      </w:pPr>
      <w:r>
        <w:rPr>
          <w:rFonts w:ascii="Arial" w:hAnsi="Arial" w:cs="Arial" w:eastAsia="Arial"/>
          <w:color w:val="auto"/>
          <w:sz w:val="20"/>
          <w:szCs w:val="20"/>
          <w:lang w:val="ro-RO"/>
        </w:rPr>
        <w:t xml:space="preserve">O.U.G. 96/2003 – Art. 1 – 10, 12 – 21, Anexele 1, 2;</w:t>
      </w:r>
    </w:p>
    <w:p>
      <w:pPr>
        <w:pStyle w:val="Normal"/>
        <w:widowControl/>
        <w:numPr>
          <w:ilvl w:val="0"/>
          <w:numId w:val="36"/>
        </w:numPr>
        <w:spacing w:before="0" w:after="40"/>
        <w:jc w:val="left"/>
        <w:rPr>
          <w:rStyle w:val="tli1"/>
          <w:rFonts w:ascii="Arial" w:hAnsi="Arial" w:cs="Arial"/>
          <w:i/>
          <w:sz w:val="20"/>
          <w:szCs w:val="20"/>
          <w:lang w:val="ro-RO"/>
        </w:rPr>
      </w:pPr>
      <w:r>
        <w:rPr>
          <w:rFonts w:ascii="Arial" w:hAnsi="Arial" w:cs="Arial" w:eastAsia="Arial"/>
          <w:color w:val="auto"/>
          <w:sz w:val="20"/>
          <w:szCs w:val="20"/>
          <w:lang w:val="ro-RO"/>
        </w:rPr>
        <w:t xml:space="preserve">O.U.G. 158/2005 – Art. 31;</w:t>
      </w:r>
    </w:p>
    <w:p>
      <w:pPr>
        <w:pStyle w:val="Normal"/>
        <w:widowControl/>
        <w:numPr>
          <w:ilvl w:val="0"/>
          <w:numId w:val="36"/>
        </w:numPr>
        <w:spacing w:before="0" w:after="40"/>
        <w:jc w:val="left"/>
        <w:rPr>
          <w:rStyle w:val="tli1"/>
          <w:rFonts w:ascii="Arial" w:hAnsi="Arial" w:cs="Arial"/>
          <w:i/>
          <w:sz w:val="20"/>
          <w:szCs w:val="20"/>
          <w:lang w:val="ro-RO"/>
        </w:rPr>
      </w:pPr>
      <w:r>
        <w:rPr>
          <w:rFonts w:eastAsia="Arial" w:cs="Arial" w:ascii="Arial" w:hAnsi="Arial"/>
          <w:i/>
          <w:color w:val="auto"/>
          <w:spacing w:val="0"/>
          <w:w w:val="100"/>
          <w:sz w:val="20"/>
          <w:szCs w:val="20"/>
          <w:lang w:val="ro-RO"/>
        </w:rPr>
        <w:t xml:space="preserve">H.G. 955/2010</w:t>
      </w:r>
      <w:r>
        <w:rPr>
          <w:rFonts w:eastAsia="Arial" w:cs="Arial" w:ascii="Arial" w:hAnsi="Arial"/>
          <w:bCs/>
          <w:i/>
          <w:color w:val="auto"/>
          <w:spacing w:val="0"/>
          <w:w w:val="100"/>
          <w:sz w:val="20"/>
          <w:szCs w:val="20"/>
          <w:lang w:val="ro-RO"/>
        </w:rPr>
        <w:t xml:space="preserve"> – privind modificarea H.G. 1425/2006;</w:t>
      </w:r>
    </w:p>
    <w:p>
      <w:pPr>
        <w:pStyle w:val="Normal"/>
        <w:widowControl/>
        <w:numPr>
          <w:ilvl w:val="0"/>
          <w:numId w:val="36"/>
        </w:numPr>
        <w:spacing w:before="0" w:after="40"/>
        <w:jc w:val="left"/>
        <w:rPr>
          <w:rFonts w:ascii="Arial" w:hAnsi="Arial" w:cs="Arial"/>
          <w:i/>
          <w:sz w:val="20"/>
          <w:szCs w:val="20"/>
          <w:lang w:val="ro-RO"/>
        </w:rPr>
      </w:pPr>
      <w:r>
        <w:rPr>
          <w:rFonts w:eastAsia="Arial" w:cs="Arial" w:ascii="Arial" w:hAnsi="Arial"/>
          <w:i/>
          <w:color w:val="auto"/>
          <w:spacing w:val="0"/>
          <w:w w:val="100"/>
          <w:sz w:val="20"/>
          <w:szCs w:val="20"/>
          <w:lang w:val="ro-RO"/>
        </w:rPr>
        <w:t xml:space="preserve">O.U.G. 195/2002 cu modificările și completările ulterioare – Art. 1, 5, 7 – 10, 20, 21, 29 – 33, 35, 36, 55 – 60, 66, 68, 70, 72 – Noul cod rutier;</w:t>
      </w:r>
    </w:p>
    <w:p>
      <w:pPr>
        <w:pStyle w:val="Normal"/>
        <w:widowControl/>
        <w:numPr>
          <w:ilvl w:val="0"/>
          <w:numId w:val="36"/>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H.G. 767/2016 – Art. II – </w:t>
      </w:r>
      <w:r>
        <w:rPr>
          <w:rFonts w:eastAsia="Arial" w:cs="Arial" w:ascii="Arial" w:hAnsi="Arial"/>
          <w:bCs/>
          <w:i/>
          <w:color w:val="auto"/>
          <w:spacing w:val="0"/>
          <w:w w:val="100"/>
          <w:sz w:val="20"/>
          <w:szCs w:val="20"/>
          <w:lang w:val="ro-RO"/>
        </w:rPr>
        <w:t xml:space="preserve">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 xml:space="preserve">319/2006, aprobate prin H.G. 1425/2006;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20"/>
          <w:szCs w:val="20"/>
          <w:lang w:val="ro-RO"/>
        </w:rPr>
      </w:pPr>
      <w:r>
        <w:rPr>
          <w:rFonts w:eastAsia="Arial" w:cs="Arial" w:ascii="Arial" w:hAnsi="Arial"/>
          <w:i/>
          <w:iCs/>
          <w:color w:val="auto"/>
          <w:spacing w:val="0"/>
          <w:w w:val="100"/>
          <w:sz w:val="20"/>
          <w:szCs w:val="20"/>
          <w:lang w:val="ro-RO"/>
        </w:rPr>
        <w:t xml:space="preserve">H.G. 259/2022 – pentru modificarea și completarea Normelor metodologice de aplicare a prevederilor Legii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 xml:space="preserve">termeni și expresii folosite</w:t>
      </w:r>
      <w:r>
        <w:rPr>
          <w:rFonts w:eastAsia="Arial" w:cs="Arial" w:ascii="Arial" w:hAnsi="Arial"/>
          <w:color w:val="auto"/>
          <w:spacing w:val="0"/>
          <w:w w:val="100"/>
          <w:sz w:val="20"/>
          <w:szCs w:val="20"/>
          <w:lang w:val="ro-RO"/>
        </w:rPr>
        <w:t xml:space="preserve">:</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 xml:space="preserve">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 xml:space="preserve">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Legea 319/2006;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 xml:space="preserve">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Legea 319/2006;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instruirea lucrătorilor în domeniul securității și sănătății în muncă – activitatea prin care lucrătorilor li se transmit cunoștințele și deprinderile necesare pentru desfășurarea activității în condiții de securitate și sănătate; cuprinde trei faze: instruirea introductiv-generală, instruirea la locul de muncă și instruirea periodică (H.G. 1425/2006 – art. 77);</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prevenirea - ansamblul procedeelor și măsurilor luate sau planificate la toate stadiile de lucru pentru evitarea pericolelor sau reducerea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11)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22) </w:t>
      </w:r>
      <w:r>
        <w:rPr>
          <w:rFonts w:eastAsia="Arial" w:cs="Arial" w:ascii="Arial" w:hAnsi="Arial"/>
          <w:color w:val="auto"/>
          <w:spacing w:val="0"/>
          <w:w w:val="100"/>
          <w:sz w:val="20"/>
          <w:szCs w:val="20"/>
          <w:lang w:val="ro-RO"/>
        </w:rPr>
        <w:t xml:space="preserve">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mod deosebit, în scopul realizării obiectivelor prevăzute la art. 22 din Legea 319/2006,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Obligațiile prevăzute la art. 23 alin. (1) din Legea 319/2006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prin asumarea de către angajator, în condițiile art. 9 alin. (4) din Legea 319/2006,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Lucrătorul/ lucrătorii și/ sau serviciul/ serviciile prevăzute la art. 9 alin. (2) din Legea 319/2006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 xml:space="preserve">H.G. 1425/2006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 xml:space="preserve">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 xml:space="preserve">Angajatorul apelează la serviciile externe, cu respectarea prevederilor art. 18 alin. (3) lit. d) din Legea 319/2006.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 xml:space="preserve">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 xml:space="preserve">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 xml:space="preserve">Reprezentanții lucrătorilor cu răspunderi specifice în domeniul securității și sănătății în muncă, definiți conform art. 5 lit. d) din Legea 319/2006,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 xml:space="preserve">conform cerințelor prevăzute la art. 60 alin. (3) din H.G. 1425/2006,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 xml:space="preserve">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 xml:space="preserve">Reprezentanții lucrătorilor cu răspunderi specifice în domeniul securității și sănătății în muncă sunt consultați și participă, în conformitate cu art. 18 din Legea 319/2006,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La adoptarea și punerea în aplicare a măsurilor prevăzute la art. 177 alin. (1) din Legea 53/2003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180 alin. (2) din Legea 53/2003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355/2007 privind </w:t>
      </w:r>
      <w:r>
        <w:rPr>
          <w:rFonts w:eastAsia="Arial" w:cs="Arial" w:ascii="Arial" w:hAnsi="Arial"/>
          <w:bCs/>
          <w:color w:val="auto"/>
          <w:spacing w:val="0"/>
          <w:w w:val="100"/>
          <w:sz w:val="20"/>
          <w:szCs w:val="20"/>
          <w:lang w:val="ro-RO"/>
        </w:rPr>
        <w:t xml:space="preserve">supravegherea sănătății lucrătorilor</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de-DE"/>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art. 24 alin. (1) din Legea 319/2006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 xml:space="preserve">S</w:t>
      </w:r>
      <w:r>
        <w:rPr>
          <w:rStyle w:val="tpa1"/>
          <w:rFonts w:eastAsia="Arial" w:cs="Arial" w:ascii="Arial" w:hAnsi="Arial"/>
          <w:color w:val="auto"/>
          <w:spacing w:val="0"/>
          <w:w w:val="100"/>
          <w:sz w:val="20"/>
          <w:szCs w:val="20"/>
          <w:lang w:val="ro-RO"/>
        </w:rPr>
        <w:t xml:space="preserve">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 xml:space="preserve">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Serviciile medicale profilactice prevăzute la alin. (1) se efectuează potrivit prevederilor anexei nr. 1 din H.G. 355/2007,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Testarea psihologică a aptitudinilor în muncă se face potrivit prevederilor anexei nr. 1 din H.G. 355/2007.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Examinările medicale profilactice se efectuează în baza fișei de identificare a factorilor de risc profesional, conform modelului prevăzut în anexa nr. 3 din H.G. 355/2007,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 xml:space="preserve">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 xml:space="preserve">(Preluare din H.G. 355/2007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 xml:space="preserve">(Preluare din H.G. 355/2007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 xml:space="preserve">(Preluare din H.G. 355/2007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 xml:space="preserve">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 xml:space="preserve">(Preluare din H.G. 355/2007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 xml:space="preserve">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 xml:space="preserve">adaptarea postului de muncă la caracteristicile anatomice, fiziologice, psihologice și la starea de sănătate a lucrătorului, în situația prevăzută la art. 15 lit. b) din H.G. 355/2007;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 xml:space="preserve">(Preluare din H.G. 355/2007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 xml:space="preserve">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Examenul medical la angajarea în muncă se face la solicitarea angajatorului, care va completa fișa de solicitare a examenului medical la angajare (conform modelului prevăzut în anexa nr. 2 din H.G. 355/2007) și fișa de identificare a factorilor de risc profesional (conform modelului prevăzut în anexa nr. 3 din H.G. 355/2007).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20"/>
          <w:szCs w:val="20"/>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 xml:space="preserve">din H.G. 355/2007</w:t>
      </w:r>
      <w:r>
        <w:rPr>
          <w:rStyle w:val="tli1"/>
          <w:rFonts w:eastAsia="Arial" w:cs="Arial" w:ascii="Arial" w:hAnsi="Arial"/>
          <w:color w:val="auto"/>
          <w:spacing w:val="0"/>
          <w:w w:val="100"/>
          <w:sz w:val="20"/>
          <w:szCs w:val="20"/>
          <w:lang w:val="ro-RO"/>
        </w:rPr>
        <w:t xml:space="preserve">;</w:t>
      </w:r>
    </w:p>
    <w:p>
      <w:pPr>
        <w:pStyle w:val="Normal"/>
        <w:widowControl/>
        <w:numPr>
          <w:ilvl w:val="0"/>
          <w:numId w:val="61"/>
        </w:numPr>
        <w:spacing w:before="0" w:after="120"/>
        <w:jc w:val="left"/>
        <w:rPr>
          <w:rFonts w:ascii="Arial" w:hAnsi="Arial" w:cs="Arial"/>
          <w:sz w:val="20"/>
          <w:szCs w:val="20"/>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 xml:space="preserve">din H.G. 355/2007</w:t>
      </w:r>
      <w:r>
        <w:rPr>
          <w:rStyle w:val="tli1"/>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 xml:space="preserve">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 xml:space="preserve">(Preluare din H.G. 355/2007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 xml:space="preserve">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 xml:space="preserve">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 xml:space="preserve">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 xml:space="preserve">(Preluare din H.G. 355/2007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 xml:space="preserve">(Preluare din H.G. 355/2007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 xml:space="preserve">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 xml:space="preserve">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 xml:space="preserve">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 xml:space="preserve">(Preluare din H.G. 355/2007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 xml:space="preserve">Examenul medical la reluarea activității se efectuează după o întrerupere a activității de minimum 90 de zile, pentru motive medicale, sau de 6 luni, pentru orice alte motive, în termen de 7 zile de la reluarea activității, cu respectarea dispozițiilor art. 22 din H.G. 355/2007.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 xml:space="preserve">(Preluare din H.G. 355/2007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 xml:space="preserve">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 xml:space="preserve">(Preluare din H.G. 355/2007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 xml:space="preserve">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 xml:space="preserve">(Preluare din H.G. 355/2007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 xml:space="preserve">(Preluare din H.G. 355/2007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 xml:space="preserve">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 xml:space="preserve">(Preluare din H.G. 355/2007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 xml:space="preserve">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 xml:space="preserve">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 xml:space="preserve">(Preluare din H.G. 355/2007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 xml:space="preserve">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 xml:space="preserve">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 xml:space="preserve">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 xml:space="preserve">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 xml:space="preserve">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 xml:space="preserve">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 xml:space="preserve">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 xml:space="preserve">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 xml:space="preserve">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46/2003 a drepturilor pacientului</w:t>
      </w:r>
      <w:r>
        <w:rPr>
          <w:rFonts w:eastAsia="Arial" w:cs="Arial" w:ascii="Arial" w:hAnsi="Arial"/>
          <w:color w:val="auto"/>
          <w:spacing w:val="0"/>
          <w:w w:val="100"/>
          <w:sz w:val="20"/>
          <w:szCs w:val="20"/>
          <w:u w:val="none"/>
          <w:lang w:val="ro-RO"/>
        </w:rPr>
        <w:t xml:space="preserve"/>
      </w:r>
      <w:r>
        <w:rPr>
          <w:rStyle w:val="tpa1"/>
          <w:rFonts w:eastAsia="Arial" w:cs="Arial" w:ascii="Arial" w:hAnsi="Arial"/>
          <w:color w:val="auto"/>
          <w:spacing w:val="0"/>
          <w:w w:val="100"/>
          <w:sz w:val="20"/>
          <w:szCs w:val="20"/>
          <w:lang w:val="ro-RO"/>
        </w:rPr>
        <w:t xml:space="preserve">,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 xml:space="preserve">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 xml:space="preserve">(Preluare din H.G. 1091/2006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 xml:space="preserve">Prevederile H.G. 1091/2006 nu se aplică:</w:t>
      </w:r>
      <w:bookmarkStart w:id="160" w:name="do|caI|ar2|lia"/>
    </w:p>
    <w:p>
      <w:pPr>
        <w:pStyle w:val="Normal"/>
        <w:keepNext w:val="false"/>
        <w:widowControl/>
        <w:numPr>
          <w:ilvl w:val="1"/>
          <w:numId w:val="6"/>
        </w:numPr>
        <w:spacing w:before="0" w:after="40"/>
        <w:jc w:val="left"/>
        <w:rPr>
          <w:rFonts w:ascii="Arial" w:hAnsi="Arial" w:cs="Arial"/>
          <w:sz w:val="20"/>
          <w:szCs w:val="20"/>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20"/>
          <w:szCs w:val="20"/>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20"/>
          <w:szCs w:val="20"/>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20"/>
          <w:szCs w:val="20"/>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20"/>
          <w:szCs w:val="20"/>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1091/2006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 xml:space="preserve">(Preluare din H.G. 1091/2006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 xml:space="preserve">(Preluare din H.G. 1091/2006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20"/>
          <w:szCs w:val="20"/>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20"/>
          <w:szCs w:val="20"/>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20"/>
          <w:szCs w:val="20"/>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20"/>
          <w:szCs w:val="20"/>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 xml:space="preserve">(Preluare din H.G. 1091/2006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1091/2006, angajatorul trebuie să ia toate măsurile necesare pentru a se asigura că aceste modificări, extinderi și/ sau transformări sunt în concordanță cu cerințele minime corespunzătoare prevăzute în Anexa nr. 1 din H.G. 1091/2006.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1091/2006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1091/2006 – Anexa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 xml:space="preserve">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20"/>
          <w:szCs w:val="20"/>
          <w:lang w:val="it-CH"/>
        </w:rPr>
      </w:pPr>
      <w:bookmarkEnd w:id="186"/>
      <w:r>
        <w:rPr>
          <w:rFonts w:eastAsia="Arial" w:cs="Arial" w:ascii="Arial" w:hAnsi="Arial"/>
          <w:color w:val="auto"/>
          <w:spacing w:val="0"/>
          <w:w w:val="100"/>
          <w:sz w:val="20"/>
          <w:szCs w:val="20"/>
          <w:u w:val="none"/>
          <w:lang w:val="ro-RO"/>
        </w:rPr>
        <w:t xml:space="preserve">căile și ieșirile de urgență trebuie să rămână în permanență libere și să conducă în mod cât mai direct posibil în aer liber sau în spații sigure (trebuie semnalizate în conformitate cu prevederile H.G. 971/2006</w:t>
      </w:r>
      <w:r>
        <w:rPr>
          <w:rFonts w:eastAsia="Arial" w:cs="Arial" w:ascii="Arial" w:hAnsi="Arial"/>
          <w:color w:val="auto"/>
          <w:spacing w:val="0"/>
          <w:w w:val="100"/>
          <w:sz w:val="20"/>
          <w:szCs w:val="20"/>
          <w:lang w:val="ro-RO"/>
        </w:rPr>
        <w:t xml:space="preserve">);</w:t>
      </w:r>
      <w:bookmarkStart w:id="187" w:name="do|ax2|pt4|sp4.2."/>
    </w:p>
    <w:p>
      <w:pPr>
        <w:pStyle w:val="Normal"/>
        <w:widowControl/>
        <w:numPr>
          <w:ilvl w:val="1"/>
          <w:numId w:val="5"/>
        </w:numPr>
        <w:spacing w:before="0" w:after="40"/>
        <w:jc w:val="left"/>
        <w:rPr>
          <w:rFonts w:ascii="Arial" w:hAnsi="Arial" w:cs="Arial"/>
          <w:sz w:val="20"/>
          <w:szCs w:val="20"/>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20"/>
          <w:szCs w:val="20"/>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20"/>
          <w:szCs w:val="20"/>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20"/>
          <w:szCs w:val="20"/>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20"/>
          <w:szCs w:val="20"/>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20"/>
          <w:szCs w:val="20"/>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20"/>
          <w:szCs w:val="20"/>
          <w:lang w:val="fr-FR"/>
        </w:rPr>
      </w:pPr>
      <w:bookmarkStart w:id="197" w:name="do|ax2|pt5|sp5.2."/>
      <w:bookmarkEnd w:id="197"/>
      <w:r>
        <w:rPr>
          <w:rFonts w:eastAsia="Arial" w:cs="Arial" w:ascii="Arial" w:hAnsi="Arial"/>
          <w:color w:val="auto"/>
          <w:spacing w:val="0"/>
          <w:w w:val="100"/>
          <w:sz w:val="20"/>
          <w:szCs w:val="20"/>
          <w:lang w:val="ro-RO"/>
        </w:rPr>
        <w:t xml:space="preserve">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acestea trebuie să fie semnalizate în conformitate cu prevederile H.G. 971/2006</w:t>
      </w:r>
      <w:r>
        <w:rPr>
          <w:rFonts w:eastAsia="Arial" w:cs="Arial" w:ascii="Arial" w:hAnsi="Arial"/>
          <w:color w:val="auto"/>
          <w:spacing w:val="0"/>
          <w:w w:val="100"/>
          <w:sz w:val="20"/>
          <w:szCs w:val="20"/>
          <w:lang w:val="ro-RO"/>
        </w:rPr>
        <w:t xml:space="preserve">).</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20"/>
          <w:szCs w:val="20"/>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20"/>
          <w:szCs w:val="20"/>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20"/>
          <w:szCs w:val="20"/>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20"/>
          <w:szCs w:val="20"/>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20"/>
          <w:szCs w:val="20"/>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20"/>
          <w:szCs w:val="20"/>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20"/>
          <w:szCs w:val="20"/>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20"/>
          <w:szCs w:val="20"/>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20"/>
          <w:szCs w:val="20"/>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20"/>
          <w:szCs w:val="20"/>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20"/>
          <w:szCs w:val="20"/>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20"/>
          <w:szCs w:val="20"/>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20"/>
          <w:szCs w:val="20"/>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20"/>
          <w:szCs w:val="20"/>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20"/>
          <w:szCs w:val="20"/>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20"/>
          <w:szCs w:val="20"/>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20"/>
          <w:szCs w:val="20"/>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20"/>
          <w:szCs w:val="20"/>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20"/>
          <w:szCs w:val="20"/>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20"/>
          <w:szCs w:val="20"/>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20"/>
          <w:szCs w:val="20"/>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20"/>
          <w:szCs w:val="20"/>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20"/>
          <w:szCs w:val="20"/>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20"/>
          <w:szCs w:val="20"/>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99/2000 </w:t>
      </w:r>
      <w:r>
        <w:rPr>
          <w:rFonts w:eastAsia="Arial" w:cs="Arial" w:ascii="Arial" w:hAnsi="Arial"/>
          <w:b w:val="false"/>
          <w:color w:val="auto"/>
          <w:spacing w:val="0"/>
          <w:w w:val="100"/>
          <w:sz w:val="20"/>
          <w:szCs w:val="20"/>
          <w:lang w:val="ro-RO"/>
        </w:rPr>
        <w:t xml:space="preserve">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 xml:space="preserve">O.U.G. 99/2000</w:t>
      </w:r>
      <w:r>
        <w:rPr>
          <w:rFonts w:eastAsia="Arial" w:cs="Arial" w:ascii="Arial" w:hAnsi="Arial"/>
          <w:b w:val="false"/>
          <w:color w:val="auto"/>
          <w:spacing w:val="0"/>
          <w:w w:val="100"/>
          <w:sz w:val="20"/>
          <w:szCs w:val="20"/>
          <w:lang w:val="ro-RO"/>
        </w:rPr>
        <w:t xml:space="preserve">,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perioadele cu temperaturi ridicate extreme, în sensul art. 1</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20"/>
          <w:szCs w:val="20"/>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20"/>
          <w:szCs w:val="20"/>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20"/>
          <w:szCs w:val="20"/>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 xml:space="preserve">din O.U.G. 99/2000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sportiv;</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4) Echipamentul individual de protecție trebuie utilizat atunci când riscurile nu pot fi evitate sau limitate suficient prin mijloacele tehnice de protecție colectivă ori prin măsurile, metodele sau procedurile de organizare a muncii.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11) Angajatorul informează mai întâi lucrătorul despre riscurile împotriva cărora îl protejează purtarea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12) Angajatorul asigură instruirea lucrătorului și, dacă este cazul, organizează antrenamente pentru modul de purtare 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7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7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7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Ordinul 427/2002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20"/>
          <w:szCs w:val="20"/>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Ordinul 427/2002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 xml:space="preserve">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3) </w:t>
      </w:r>
      <w:r>
        <w:rPr>
          <w:rFonts w:eastAsia="Arial" w:cs="Arial" w:ascii="Arial" w:hAnsi="Arial"/>
          <w:b w:val="false"/>
          <w:color w:val="auto"/>
          <w:spacing w:val="0"/>
          <w:w w:val="100"/>
          <w:sz w:val="20"/>
          <w:szCs w:val="20"/>
          <w:u w:val="none"/>
          <w:lang w:val="ro-RO"/>
        </w:rPr>
        <w:t xml:space="preserve">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971/2006 </w:t>
      </w:r>
      <w:r>
        <w:rPr>
          <w:rStyle w:val="tpa1"/>
          <w:rFonts w:eastAsia="Arial" w:cs="Arial" w:ascii="Arial" w:hAnsi="Arial"/>
          <w:color w:val="auto"/>
          <w:spacing w:val="0"/>
          <w:w w:val="100"/>
          <w:sz w:val="20"/>
          <w:szCs w:val="20"/>
          <w:lang w:val="ro-RO"/>
        </w:rPr>
        <w:t xml:space="preserve">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 xml:space="preserve">319/2006</w:t>
      </w:r>
      <w:r>
        <w:rPr>
          <w:rStyle w:val="tal1"/>
          <w:rFonts w:eastAsia="Arial" w:cs="Arial" w:ascii="Arial" w:hAnsi="Arial"/>
          <w:i/>
          <w:color w:val="auto"/>
          <w:spacing w:val="0"/>
          <w:w w:val="100"/>
          <w:sz w:val="20"/>
          <w:szCs w:val="20"/>
          <w:lang w:val="ro-RO"/>
        </w:rPr>
        <w:t xml:space="preser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20"/>
          <w:szCs w:val="20"/>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20"/>
          <w:szCs w:val="20"/>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20"/>
          <w:szCs w:val="20"/>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20"/>
          <w:szCs w:val="20"/>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20"/>
          <w:szCs w:val="20"/>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20"/>
          <w:szCs w:val="20"/>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20"/>
          <w:szCs w:val="20"/>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20"/>
          <w:szCs w:val="20"/>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20"/>
          <w:szCs w:val="20"/>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20"/>
          <w:szCs w:val="20"/>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20"/>
          <w:szCs w:val="20"/>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20"/>
          <w:szCs w:val="20"/>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20"/>
          <w:szCs w:val="20"/>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20"/>
          <w:szCs w:val="20"/>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20"/>
          <w:szCs w:val="20"/>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20"/>
          <w:szCs w:val="20"/>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20"/>
          <w:szCs w:val="20"/>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20"/>
          <w:szCs w:val="20"/>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20"/>
          <w:szCs w:val="20"/>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20"/>
          <w:szCs w:val="20"/>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semnalele luminoase</w:t>
      </w:r>
      <w:r>
        <w:rPr>
          <w:rStyle w:val="tpt1"/>
          <w:rFonts w:eastAsia="Arial" w:cs="Arial" w:ascii="Arial" w:hAnsi="Arial"/>
          <w:color w:val="auto"/>
          <w:spacing w:val="0"/>
          <w:w w:val="100"/>
          <w:sz w:val="20"/>
          <w:szCs w:val="20"/>
          <w:lang w:val="ro-RO"/>
        </w:rPr>
        <w:t xml:space="preserve">;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 xml:space="preserve">Culoarea uniformă trebuie să corespundă tabelului de culori și semnificației acestora care figurează la anexa nr. 1, punctul 4 din H.G. 971/2006.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 xml:space="preserve">Atunci când semnalul conține o pictogramă, aceasta trebuie să fie în conformitate cu cerințele corespunzătoare prevăzute în anexa nr. 2 din H.G. 971/2006.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20"/>
          <w:szCs w:val="20"/>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20"/>
          <w:szCs w:val="20"/>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20"/>
          <w:szCs w:val="20"/>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semnalele acustice</w:t>
      </w:r>
      <w:r>
        <w:rPr>
          <w:rStyle w:val="tpt1"/>
          <w:rFonts w:eastAsia="Arial" w:cs="Arial" w:ascii="Arial" w:hAnsi="Arial"/>
          <w:color w:val="auto"/>
          <w:spacing w:val="0"/>
          <w:w w:val="100"/>
          <w:sz w:val="20"/>
          <w:szCs w:val="20"/>
          <w:lang w:val="ro-RO"/>
        </w:rPr>
        <w:t xml:space="preserve">;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comunicarea verbală</w:t>
      </w:r>
      <w:r>
        <w:rPr>
          <w:rStyle w:val="tpt1"/>
          <w:rFonts w:eastAsia="Arial" w:cs="Arial" w:ascii="Arial" w:hAnsi="Arial"/>
          <w:color w:val="auto"/>
          <w:spacing w:val="0"/>
          <w:w w:val="100"/>
          <w:sz w:val="20"/>
          <w:szCs w:val="20"/>
          <w:lang w:val="ro-RO"/>
        </w:rPr>
        <w:t xml:space="preserve">;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20"/>
          <w:szCs w:val="20"/>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20"/>
          <w:szCs w:val="20"/>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53/2003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dreptul de a constitui sau de a adera la un sindicat; m¹) dreptul de a solicita trecerea pe un post vacant care îi asigură condiții de muncă mai favorabile dacă și-a încheiat perioada de probă și are o vechime de cel puțin 6 luni la același angajator;</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drepturi prevăzute de lege sau de contractele colective de muncă aplicabile.</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obligația de a respecta secretul de serviciu;</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obligații prevăzute de lege sau de contractele colective de muncă aplicabile.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 xml:space="preserve">(Preluare din Legea 53/2003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să stabilească atribuțiile corespunzătoare fiecărui salariat, în condițiile legii;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constate săvârșirea abaterilor disciplinare și să aplice sancțiunile corespunzătoare, potrivit legii, contractului colectiv de muncă aplicabil și regulamentului intern;</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stabilească obiectivele de performanță individuală, precum și criteriile de evaluare a realizării acestora.</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Normal"/>
        <w:widowControl/>
        <w:numPr>
          <w:ilvl w:val="0"/>
          <w:numId w:val="32"/>
        </w:numPr>
        <w:spacing w:before="0" w:after="120"/>
        <w:jc w:val="left"/>
        <w:rPr>
          <w:rFonts w:ascii="Arial" w:hAnsi="Arial" w:cs="Arial"/>
          <w:sz w:val="20"/>
          <w:szCs w:val="20"/>
          <w:lang w:val="it-IT"/>
        </w:rPr>
      </w:pPr>
      <w:r>
        <w:rPr>
          <w:rFonts w:ascii="Arial" w:hAnsi="Arial" w:cs="Arial" w:eastAsia="Arial"/>
          <w:color w:val="auto"/>
          <w:sz w:val="20"/>
          <w:szCs w:val="20"/>
          <w:lang w:val="ro-RO"/>
        </w:rPr>
        <w:t xml:space="preserve">să răspundă motivat, în scris, în termen de 30 de zile de la primirea solicitării salariatului, prevăzută la art. 39 alin. (1) lit. m¹).</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53/2003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 xml:space="preserve">(Preluare din Legea 53/2003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115)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117) </w:t>
      </w:r>
      <w:r>
        <w:rPr>
          <w:rFonts w:eastAsia="Arial" w:cs="Arial" w:ascii="Arial" w:hAnsi="Arial"/>
          <w:b w:val="false"/>
          <w:color w:val="auto"/>
          <w:spacing w:val="0"/>
          <w:w w:val="100"/>
          <w:sz w:val="20"/>
          <w:szCs w:val="20"/>
          <w:lang w:val="ro-RO"/>
        </w:rPr>
        <w:t xml:space="preserve">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120)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Legea 53/2003,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121)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53/2003 – Art. 124) </w:t>
      </w:r>
      <w:r>
        <w:rPr>
          <w:rFonts w:eastAsia="Arial" w:cs="Arial" w:ascii="Arial" w:hAnsi="Arial"/>
          <w:b w:val="false"/>
          <w:color w:val="auto"/>
          <w:spacing w:val="0"/>
          <w:w w:val="100"/>
          <w:sz w:val="20"/>
          <w:szCs w:val="20"/>
          <w:lang w:val="ro-RO"/>
        </w:rPr>
        <w:t xml:space="preserve">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125)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129) </w:t>
      </w:r>
      <w:r>
        <w:rPr>
          <w:rFonts w:eastAsia="Arial" w:cs="Arial" w:ascii="Arial" w:hAnsi="Arial"/>
          <w:b w:val="false"/>
          <w:color w:val="auto"/>
          <w:spacing w:val="0"/>
          <w:w w:val="100"/>
          <w:sz w:val="20"/>
          <w:szCs w:val="20"/>
          <w:lang w:val="ro-RO"/>
        </w:rPr>
        <w:t xml:space="preserve">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130) </w:t>
      </w:r>
      <w:r>
        <w:rPr>
          <w:rFonts w:eastAsia="Arial" w:cs="Arial" w:ascii="Arial" w:hAnsi="Arial"/>
          <w:b w:val="false"/>
          <w:color w:val="auto"/>
          <w:spacing w:val="0"/>
          <w:w w:val="100"/>
          <w:sz w:val="20"/>
          <w:szCs w:val="20"/>
          <w:lang w:val="ro-RO"/>
        </w:rPr>
        <w:t xml:space="preserve">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w:t>
      </w:r>
      <w:r>
        <w:rPr>
          <w:rFonts w:eastAsia="Arial" w:cs="Arial" w:ascii="Arial" w:hAnsi="Arial"/>
          <w:b w:val="false"/>
          <w:i/>
          <w:color w:val="auto"/>
          <w:spacing w:val="0"/>
          <w:w w:val="100"/>
          <w:sz w:val="20"/>
          <w:szCs w:val="20"/>
          <w:lang w:val="ro-RO"/>
        </w:rPr>
        <w:t xml:space="preserve"/>
      </w:r>
      <w:r>
        <w:rPr>
          <w:rFonts w:eastAsia="Arial" w:cs="Arial" w:ascii="Arial" w:hAnsi="Arial"/>
          <w:b w:val="false"/>
          <w:i/>
          <w:color w:val="auto"/>
          <w:spacing w:val="0"/>
          <w:w w:val="100"/>
          <w:sz w:val="20"/>
          <w:szCs w:val="20"/>
          <w:lang w:val="ro-RO"/>
        </w:rPr>
        <w:t xml:space="preserve">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situația prevăzută la art. 137 alin. (2) din Legea 53/2003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Salariații al căror repaus săptămânal se acordă în condițiile art. 137 alin. (4) din Legea 53/2003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Legea 53/2003.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53/2003 – Art. 138)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Legea 53/2003.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26)</w:t>
      </w:r>
      <w:r>
        <w:rPr>
          <w:rFonts w:eastAsia="Arial" w:cs="Arial" w:ascii="Arial" w:hAnsi="Arial"/>
          <w:b w:val="false"/>
          <w:color w:val="auto"/>
          <w:spacing w:val="0"/>
          <w:w w:val="100"/>
          <w:sz w:val="20"/>
          <w:szCs w:val="20"/>
          <w:lang w:val="ro-RO"/>
        </w:rPr>
        <w:t xml:space="preserve"> Orice eveniment, așa cum este definit la art. 5 lit. f) din Legea 319/2006,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inspectoratelor teritoriale de muncă, toate evenimentele așa cum sunt definite la art. 5 lit. f) din Legea 319/2006;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 xml:space="preserve">Legii 346/2002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Semnalarea prevăzută la art. 27 alin. (2) din Legea 319/2006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sensul prevederilor art. 5 lit. g) din Legea 319/2006,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situațiile menționate la art. 30 alin. (1) lit. g), h), i) și l) din Legea 319/2006,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33) </w:t>
      </w:r>
      <w:r>
        <w:rPr>
          <w:rFonts w:eastAsia="Arial" w:cs="Arial" w:ascii="Arial" w:hAnsi="Arial"/>
          <w:b w:val="false"/>
          <w:color w:val="auto"/>
          <w:spacing w:val="0"/>
          <w:w w:val="100"/>
          <w:sz w:val="20"/>
          <w:szCs w:val="20"/>
          <w:lang w:val="ro-RO"/>
        </w:rPr>
        <w:t xml:space="preserve">În sensul prevederilor art. 5 lit. h) din Legea 319/2006,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108) </w:t>
      </w:r>
      <w:bookmarkStart w:id="331" w:name="do|caVII|si1|ar108|al1"/>
      <w:bookmarkEnd w:id="331"/>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Orice eveniment va fi comunicat conform prevederilor art. 26 și art. 27 alin. (1) din Legea 319/2006.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Evenimentul produs în condițiile prevăzute la art. 30 alin. (1) lit. d) și e) din Legea 319/2006,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 xml:space="preserve">Comunicarea evenimentelor va cuprinde cel puțin următoarele informații, conform modelului prevăzut în anexa nr. 13 din H.G. 1425/2006: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 xml:space="preserve">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 xml:space="preserve">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 xml:space="preserve">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 xml:space="preserve">din H.G. 1425/2006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O.G. </w:t>
      </w:r>
      <w:r>
        <w:rPr>
          <w:rFonts w:eastAsia="Arial" w:cs="Arial" w:ascii="Arial" w:hAnsi="Arial"/>
          <w:color w:val="auto"/>
          <w:spacing w:val="0"/>
          <w:w w:val="100"/>
          <w:sz w:val="20"/>
          <w:szCs w:val="20"/>
          <w:u w:val="none"/>
          <w:lang w:val="ro-RO"/>
        </w:rPr>
        <w:t xml:space="preserve">1/2000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w:t>
      </w:r>
      <w:r>
        <w:rPr>
          <w:rFonts w:eastAsia="Arial" w:cs="Arial" w:ascii="Arial" w:hAnsi="Arial"/>
          <w:color w:val="auto"/>
          <w:spacing w:val="0"/>
          <w:w w:val="100"/>
          <w:sz w:val="20"/>
          <w:szCs w:val="20"/>
          <w:u w:val="none"/>
          <w:lang w:val="ro-RO"/>
        </w:rPr>
        <w:t xml:space="preserve">459/2001</w:t>
      </w:r>
      <w:r>
        <w:rPr>
          <w:rStyle w:val="tal1"/>
          <w:rFonts w:eastAsia="Arial" w:cs="Arial" w:ascii="Arial" w:hAnsi="Arial"/>
          <w:color w:val="auto"/>
          <w:spacing w:val="0"/>
          <w:w w:val="100"/>
          <w:sz w:val="20"/>
          <w:szCs w:val="20"/>
          <w:lang w:val="ro-RO"/>
        </w:rPr>
        <w:t xml:space="preserve">,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 xml:space="preserve">(4)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O.G. </w:t>
      </w:r>
      <w:r>
        <w:rPr>
          <w:rFonts w:eastAsia="Arial" w:cs="Arial" w:ascii="Arial" w:hAnsi="Arial"/>
          <w:color w:val="auto"/>
          <w:spacing w:val="0"/>
          <w:w w:val="100"/>
          <w:sz w:val="20"/>
          <w:szCs w:val="20"/>
          <w:u w:val="none"/>
          <w:lang w:val="ro-RO"/>
        </w:rPr>
        <w:t xml:space="preserve">1/2000</w:t>
      </w:r>
      <w:r>
        <w:rPr>
          <w:rStyle w:val="tal1"/>
          <w:rFonts w:eastAsia="Arial" w:cs="Arial" w:ascii="Arial" w:hAnsi="Arial"/>
          <w:color w:val="auto"/>
          <w:spacing w:val="0"/>
          <w:w w:val="100"/>
          <w:sz w:val="20"/>
          <w:szCs w:val="20"/>
          <w:lang w:val="ro-RO"/>
        </w:rPr>
        <w:t xml:space="preserve">, aprobată cu modificări prin Legea </w:t>
      </w:r>
      <w:r>
        <w:rPr>
          <w:rFonts w:eastAsia="Arial" w:cs="Arial" w:ascii="Arial" w:hAnsi="Arial"/>
          <w:color w:val="auto"/>
          <w:spacing w:val="0"/>
          <w:w w:val="100"/>
          <w:sz w:val="20"/>
          <w:szCs w:val="20"/>
          <w:u w:val="none"/>
          <w:lang w:val="ro-RO"/>
        </w:rPr>
        <w:t xml:space="preserve">459/2001</w:t>
      </w:r>
      <w:r>
        <w:rPr>
          <w:rStyle w:val="tal1"/>
          <w:rFonts w:eastAsia="Arial" w:cs="Arial" w:ascii="Arial" w:hAnsi="Arial"/>
          <w:color w:val="auto"/>
          <w:spacing w:val="0"/>
          <w:w w:val="100"/>
          <w:sz w:val="20"/>
          <w:szCs w:val="20"/>
          <w:lang w:val="ro-RO"/>
        </w:rPr>
        <w:t xml:space="preserve">,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 xml:space="preserve">(5)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de constatare medico-legală în termenul prevăzut la art. 29 alin. (3) din Legea 319/2006.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 xml:space="preserve">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situațiile prevăzute la art. 118 alin. (1) din H.G. 1425/2006,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 xml:space="preserve">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121)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 xml:space="preserve">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 xml:space="preserve">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 xml:space="preserve">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 xml:space="preserve">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 xml:space="preserve">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 xml:space="preserve">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registrul prevăzut la art. 141 alin. (1) lit. d) din H.G. 1425/2006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346/2002, cu ale persoanelor prevăzute la art. 5 alin. (1), lit. a) din Legea 346/2002;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O.G. 88/2001 privind înființarea, organizarea și funcționarea serviciilor publice comunitare pentru situații de urgență, aprobată cu modificări și completări prin Legea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 xml:space="preserve">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20"/>
          <w:szCs w:val="20"/>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346/2002 </w:t>
      </w:r>
      <w:r>
        <w:rPr>
          <w:rFonts w:eastAsia="Arial" w:cs="Arial" w:ascii="Arial" w:hAnsi="Arial"/>
          <w:b w:val="false"/>
          <w:color w:val="auto"/>
          <w:spacing w:val="0"/>
          <w:w w:val="100"/>
          <w:sz w:val="20"/>
          <w:szCs w:val="20"/>
          <w:lang w:val="ro-RO"/>
        </w:rPr>
        <w:t xml:space="preserve">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Legea 346/2002.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Plata despăgubirii în caz de deces se face în termen de 15 zile de la data comunicării deciziei prevăzute la art. 47 din Legea 346/2002.</w:t>
      </w:r>
    </w:p>
    <w:p>
      <w:pPr>
        <w:pStyle w:val="Heading1"/>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346/2002 – Art. 49)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Ordinul 450/825/2006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cetățeni ai altor state și apatrizi, care au, conform legii, domiciliul sau reședința în România, dacă fac parte din categoriile de salariate prevăzute la art. 1 alin. (1) lit. a) din O.U.G. 96/2003.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319/2006,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concediul de risc maternal este concediul de care beneficiază salariatele prevăzute la art. 2 lit. c) – e) din O.U.G. 96/2003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3) (1) Salariatele prevăzute la art. 2 lit. c) – e) din O.U.G. 96/2003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96/2003 și nu informează în scris angajatorul despre starea lor, acesta este exonerat de obligațiile sale prevăzute în prezenta ordonanță de urgență, cu excepția celor prevăzute la art. 5, 6, 18, 23 și 25 din O.U.G. 96/2003.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96/2003, angajatorul trebuie să evalueze natura, gradul și durata expunerii salariatelor prevăzute la art. 2 lit. c) – e) din O.U.G. 96/2003 în întreprinderea și/ sau unitatea respectivă și, ulterior, la orice modificare a condițiilor de muncă, fie direct, fie prin intermediul serviciilor de protecție și prevenire prevăzute la art. 8 și 9 din Legea 319/2006,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6) (1) Fără a aduce atingere art. 16 și 17 din Legea 319/2006, cu modificările ulterioare, angajatorii sunt obligați ca, în termen de 5 zile lucrătoare de la data întocmirii rapoartelor scrise prevăzute la art. 5 alin. (2) din O.U.G. 96/2003,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319/2006, cu modificările ulterioare, în cazul în care rezultatele evaluării la care se face referire la art. 5 și 6 din O.U.G. 96/2003 evidențiază un risc pentru securitatea sau sănătatea salariatelor prevăzute la art. 2 lit. c) – e) din O.U.G. 96/2003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10) (1) În cazul în care angajatorul, din motive justificate în mod obiectiv, nu poate să îndeplinească obligația prevăzută la art. 9 alin. (2) din O.U.G. 96/2003, salariatele prevăzute la art. 2 lit. c) – e) din O.U.G. 96/2003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înainte de data solicitării concediului de maternitate, stabilit potrivit dispozițiilor O.U.G. 158/2005 privind concediile și indemnizațiile de asigurări sociale de sănătate, aprobată cu modificări și completări prin Legea 399/2006, cu modificările și completările ulterioare, salariatele prevăzute la art. 2 lit. c)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158/2005 – Art. 31) (1) Dreptul la concediul de risc maternal se acordă în condițiile prevăzute de O.U.G. 96/2003 privind protecția maternității la locurile de muncă, aprobată cu modificări și completări prin Legea 25/2004.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158/2005 reprezintă 75% din baza de calcul stabilită conform prevederilor art. 10 din O.U.G. 158/2005.</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96/2003 nu pot fi obligate, în niciun caz, să realizeze activități pentru care evaluarea a evidențiat riscul de expunere la agenți sau condițiile de muncă prevăzute la lit. A din anexa nr. 2 din O.U.G. 96/2003;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96/2003 nu pot fi obligate, în niciun caz, să realizeze activități pentru care evaluarea a evidențiat riscul de expunere la agenți sau condițiile de muncă prevăzute la lit. B din anexa nr. 2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96/2003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96/2003 și în cadrul concediului pentru lăuzie stabilit prin O.U.G. 158/2005, aprobată cu modificări și completări prin Legea 399/2006,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Salariatele prevăzute la art. 2 lit. c) – e) din O.U.G. 96/2003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96/2003 și indemnizația de risc maternal, potrivit prevederilor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20) (1) Salariatele prevăzute la art. 2 lit. c) – e) din O.U.G. 96/2003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96/2003 se aplică în mod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 xml:space="preserve">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neexhaustivă a agenților și condițiilor de muncă, la care se face referire în art. 14 din O.U.G. 96/2003: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măsurile luate în conformitate cu prevederile art. 10 alin. (2) și (3)</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17) </w:t>
      </w:r>
      <w:r>
        <w:rPr>
          <w:rFonts w:eastAsia="Arial" w:cs="Arial" w:ascii="Arial" w:hAnsi="Arial"/>
          <w:b w:val="false"/>
          <w:color w:val="auto"/>
          <w:spacing w:val="0"/>
          <w:w w:val="100"/>
          <w:sz w:val="20"/>
          <w:szCs w:val="20"/>
          <w:lang w:val="ro-RO"/>
        </w:rPr>
        <w:t xml:space="preserve">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 xml:space="preserve">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evidența și rapoartele prevăzute la art. 12 alin. (1) lit. c) și d)</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și la art. 10 alin. (2)</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precum și cu privire la activitățile la care s-a făcut referire la art. 8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informațiile la care s-a făcut referire în art. 12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art. 16 și 17</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recurgerea, după caz, la servicii externe, conform art. 8 alin. (4)</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organizarea și planificarea instruirii prevăzute la art. 20 și 21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 xml:space="preserve">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și ale art. 18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20)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fie:</w:t>
      </w:r>
    </w:p>
    <w:p>
      <w:pPr>
        <w:pStyle w:val="Normal"/>
        <w:widowControl/>
        <w:numPr>
          <w:ilvl w:val="0"/>
          <w:numId w:val="3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21)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319/2006 </w:t>
      </w:r>
      <w:r>
        <w:rPr>
          <w:rFonts w:eastAsia="Arial" w:cs="Arial" w:ascii="Arial" w:hAnsi="Arial"/>
          <w:b w:val="false"/>
          <w:color w:val="auto"/>
          <w:spacing w:val="0"/>
          <w:w w:val="100"/>
          <w:sz w:val="20"/>
          <w:szCs w:val="20"/>
          <w:lang w:val="ro-RO"/>
        </w:rPr>
        <w:t xml:space="preserve">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 xml:space="preserve">Prezentul capitol stabilește procedura instruirii lucrătorilor din punct de vedere al securității și sănătății în muncă, în conformitate cu art. 20 din Legea 319/2006.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 xml:space="preserve">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 xml:space="preserve">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 xml:space="preserve">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 xml:space="preserve">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1425/2006 și pentru instruirea periodică efectuată suplimentar celei programate prevăzută la art. 98 din H.G. 1425/2006,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 xml:space="preserve">prin programul de instruire-testare elaborat la nivelul întreprinderii și/ sau unității potrivit prevederilor art. 15 alin. (1) pct. 8 din H.G. 1425/2006, datat și aprobat de către angajator.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1425/2006 – Art. 81) (1) 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Pentru persoanele aflate în întreprindere și/ sau unitate cu permisiunea angajatorului, cu excepția altor participanți la procesul de muncă, așa cum sunt definiți potrivit art. 5 lit. c) din Legea 319/2006,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1425/2006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 xml:space="preserve">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 xml:space="preserve">la angajarea lucrătorilor definiți conform art. 5 lit. a) din Legea 319/2006;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 xml:space="preserve">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 xml:space="preserve">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1425/2006 – Art. 87 alin. (1) și (3)) (1) Durata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 xml:space="preserve">Lucrătorii prevăzuți la art. 83 lit. a) și d)</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se face tuturor lucrătorilor prevăzuți la art. 83</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ascii="Arial" w:hAnsi="Arial" w:cs="Arial" w:eastAsia="Arial"/>
          <w:color w:val="auto"/>
          <w:sz w:val="20"/>
          <w:szCs w:val="20"/>
          <w:lang w:val="ro-RO"/>
        </w:rPr>
        <w:t xml:space="preserve">(Preluare din H.G. 1425/2006 – Art. 92 – conf. H.G. 767/2016 – pct. 4) (2) Durata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1425/2006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1425/2006 </w:t>
      </w:r>
      <w:r>
        <w:rPr>
          <w:rStyle w:val="tpa1"/>
          <w:rFonts w:eastAsia="Arial" w:cs="Arial" w:ascii="Arial" w:hAnsi="Arial"/>
          <w:b w:val="false"/>
          <w:color w:val="auto"/>
          <w:spacing w:val="0"/>
          <w:w w:val="100"/>
          <w:sz w:val="20"/>
          <w:szCs w:val="20"/>
          <w:lang w:val="ro-RO"/>
        </w:rPr>
        <w:t xml:space="preserve">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ascii="Arial" w:hAnsi="Arial" w:cs="Arial" w:eastAsia="Arial"/>
          <w:color w:val="auto"/>
          <w:sz w:val="20"/>
          <w:szCs w:val="20"/>
          <w:lang w:val="ro-RO"/>
        </w:rPr>
        <w:t xml:space="preserve">(Preluare din H.G. 1425/2006 – Art. 96 – conf. H.G. 767/2016 – pct. 5) (1) Instruirea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 xml:space="preserve">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99 – conf. H.G. 767/2016 –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Accidentele de muncă,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ca atât lucrătorii, cât și angajatorii să înțeleagă importanța activităților de prevenire și protecție, este necesar ca pentru început fiecare să ia cunoștință de legislația în domeniul securității și sănătății în muncă. Dacă obligațiile legale nu sunt cunoscute, atât angajatorul, cât și lucrătorii nu își vor asuma răspunderile ce li se atribuie.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(1) Toate măsurile care se iau în domeniul securității și sănătății în muncă au la bază cel puțin o cerință legală, iar încălcarea acestor cerințe poate constitui contravenție, sancționată cu amendă, sau, atunci când creează un pericol iminent de producere a unui accident de muncă sau de îmbolnăvire profesională, infracțiune, pedepsită potrivit Codului penal cu închisoare de până la 3 ani sau cu amendă.</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care se pot lua pentru diminuarea sau înlăturarea pericolelor de accidentare sunt tehnice, organizatorice și igienico-sanitare. Neluarea sau nerespectarea acestor măsuri, atunci când creează un pericol iminent de producere a unui accident de muncă sau de îmbolnăvire profesională, constituie infracțiune potrivit Codului penal, care prevede următoarele: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286/2009 – Art. 349) Neluarea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Neluarea vreuneia dintre măsurile legale de securitate și sănătate în muncă de către persoana care avea îndatorirea de a lua aceste măsuri, dacă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Fapta prevăzută în alin. (1) săvârșită din culpă se pedepsește cu închisoare de la 3 luni la un an sau cu amendă.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286/2009 – Art. 350) Nerespectarea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Nerespectarea de către orice persoană a obligațiilor și a măsurilor stabilite cu privire la securitatea și sănătatea în muncă, dacă prin aceasta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Cu aceeași pedeapsă se sancționează repunerea în funcțiune a instalațiilor, mașinilor și utilajelor, anterior eliminării tuturor deficiențelor pentru care s-a luat măsura opririi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Faptele prevăzute în alin. (1) și alin. (2) săvârșite din culpă se pedepsesc cu închisoare de la 3 luni la un an sau cu amendă.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Răspunderea juridică pentru încălcarea legislației în domeniul securității și sănătății în muncă poate privi atât angajatorul, cât și lucrătorii și poate fi, după caz:</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disciplinară, pentru lucrătorii care încalcă regulile de securitate și sănătate în muncă, potrivit Codului muncii, regulamentului intern și contractului colectiv de muncă aplicabil;</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patrimonială, pentru pagubele produse, potrivit Codului muncii și legii civile;</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contravențională: contravențiile prevăzute de Legea 319/2006, Capitolul IX (art. 39 – 43), se sancționează cu amenzi cuprinse între 2.000 lei și 10.000 lei, care se aplică angajatorilor; constatarea contravențiilor și aplicarea amenzilor se fac de către inspectorii de muncă, iar pentru unele fapte și de către inspectorii sanitari;</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penală: infracțiunile prevăzute inițial de Legea 319/2006, Capitolul VIII (art. 37 – 38), au fost abrogate de Legea 187/2012 începând cu 1 februarie 2014, iar faptele respective sunt în prezent infracțiuni prevăzute de Codul penal, la art. 349 și 350, și se pedepsesc cu închisoare sau cu amendă.</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întreprinderii și, în ultimă instanță, este suportat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 xml:space="preserve">(1):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 xml:space="preserve">(Preluare din Legea 319/2006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aplicarea prevederilor art. 10 alin. (1) din Legea 319/2006,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Numărul lucrătorilor menționați la art. 10 alin. (2) din Legea 319/2006,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 xml:space="preserve">cifice unității (conform Legii 319/2006 –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Numărul lucrătorilor desemnați să acorde primul ajutor se stabilește de angajator, cu consultarea serviciului de prevenire și protecție, potrivit mărimii și riscurilor specifice unității, și se consemnează în instrucțiunile proprii sau în regulamentul intern.</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(5) </w:t>
      </w:r>
      <w:r>
        <w:rPr>
          <w:rFonts w:ascii="Arial" w:hAnsi="Arial" w:cs="Arial" w:eastAsia="Arial"/>
          <w:color w:val="auto"/>
          <w:sz w:val="20"/>
          <w:szCs w:val="20"/>
          <w:lang w:val="ro-RO"/>
        </w:rPr>
        <w:t xml:space="preserve">Numărul și repartizarea lucrătorilor desemnați se stabilesc astfel încât un lucrător instruit în acordarea primului ajutor să poată ajunge rapid la fiecare loc de muncă și în fiecare schimb, ținând seama de numărul lucrătorilor, de distanțe și de riscuri.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(6) </w:t>
      </w: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(8) </w:t>
      </w:r>
      <w:r>
        <w:rPr>
          <w:rFonts w:ascii="Arial" w:hAnsi="Arial" w:cs="Arial" w:eastAsia="Arial"/>
          <w:color w:val="auto"/>
          <w:sz w:val="20"/>
          <w:szCs w:val="20"/>
          <w:lang w:val="ro-RO"/>
        </w:rPr>
        <w:t xml:space="preserve">Mijloacele de comunicare cu serviciile de urgență trebuie să fie în permanență în stare de funcționare; orice defecțiune se remediază de urgență, iar până la remediere se folosesc soluții alternative (de exemplu, telefonul mobil).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(9) </w:t>
      </w:r>
      <w:r>
        <w:rPr>
          <w:rFonts w:ascii="Arial" w:hAnsi="Arial" w:cs="Arial" w:eastAsia="Arial"/>
          <w:color w:val="auto"/>
          <w:sz w:val="20"/>
          <w:szCs w:val="20"/>
          <w:lang w:val="ro-RO"/>
        </w:rPr>
        <w:t xml:space="preserve">Fiecare loc de muncă va fi dotat cu cel puțin o trusă de prim ajutor, în numărul și cu conținutul prevăzute de Ordinul 427/2002 (redate în prezentul material).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(10) </w:t>
      </w:r>
      <w:r>
        <w:rPr>
          <w:rFonts w:ascii="Arial" w:hAnsi="Arial" w:cs="Arial" w:eastAsia="Arial"/>
          <w:color w:val="auto"/>
          <w:sz w:val="20"/>
          <w:szCs w:val="20"/>
          <w:lang w:val="ro-RO"/>
        </w:rPr>
        <w:t xml:space="preserve">Lucrătorii desemnați să acorde primul ajutor verifică periodic, la intervalul stabilit de angajator, și după fiecare folosire, dacă trusele sunt complete și dacă materialele nu au expirat.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(12) </w:t>
      </w: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Potrivit Legii 95/2006, republicată, primul ajutor de bază poate fi acordat de orice persoană instruită în acest sens sau, la indicațiile dispecerului de urgență, chiar de o persoană fără instruire. Persoanele fără pregătire medicală care acordă primul ajutor de bază cu bună-credință, cu intenția de a salva viața sau sănătatea unei persoane, nu răspund penal sau civil.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unitate, primul ajutor este asigurat de lucrătorii desemnați și instruiți în acest scop. Orice lucrător care este martor la un accident sau la o îmbolnăvire bruscă:</w:t>
      </w:r>
    </w:p>
    <w:p>
      <w:pPr>
        <w:pStyle w:val="Normal"/>
        <w:widowControl/>
        <w:numPr>
          <w:ilvl w:val="0"/>
          <w:numId w:val="7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sună la 112 sau se asigură că s-a sunat deja;</w:t>
      </w:r>
    </w:p>
    <w:p>
      <w:pPr>
        <w:pStyle w:val="Normal"/>
        <w:widowControl/>
        <w:numPr>
          <w:ilvl w:val="0"/>
          <w:numId w:val="7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anunță lucrătorul desemnat să acorde primul ajutor și conducătorul locului de muncă;</w:t>
      </w:r>
    </w:p>
    <w:p>
      <w:pPr>
        <w:pStyle w:val="Normal"/>
        <w:widowControl/>
        <w:numPr>
          <w:ilvl w:val="0"/>
          <w:numId w:val="7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ajută victima în limita cunoștințelor sale și urmează indicațiile dispecerului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Modul detaliat de acordare a primului ajutor este prevăzut în instrucțiunile proprii de securitate și sănătate în muncă ale unității.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 evaluarea situației (ce s-a întâmplat și dacă mai există un pericol), protejarea victimei și a lui însuși (înlăturarea pericolului fără a se expune), examinarea victimei, alertarea prin 112 și acordarea primului ajutor, urmată de supravegherea victimei până la sosirea echipajului de urgență. Salvatorul nu trebuie să devină a doua victimă: nu intră în zone cu fum, gaze, curent electric, apă sau pericol de prăbușire fără echipament și fără pregătire.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 locul exact al accidentului, ce s-a întâmplat, numărul victimelor și starea lor, pericolele care persistă și numărul de telefon de la care se sună. Salvatorul nu închide primul, răspunde la întrebările dispecerului și îi urmează indicațiile, cu difuzorul telefonului pornit, ca să aibă mâinile libere.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scutură ușor victima de umeri și o întreabă tare dacă îl aude; dacă nu răspunde, cere ajutor și sună imediat la 112;</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oprește imediat orice sângerare abundentă;</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deschide căile respiratorii prin înclinarea ușoară a capului pe spate și ridicarea bărbiei;</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verifică, timp de cel mult 10 secunde, dacă victima respiră normal; respirația rară, zgomotoasă sau sub formă de gâfâieli nu este o respirație normală.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care nu răspunde, dar respiră normal, este așezată în poziția laterală de siguranță (culcată pe o parte, cu piciorul de deasupra îndoit și cu capul ușor înclinat pe spate, ca să respire liber), dacă nu se suspectează o leziune a coloanei, și i se supraveghează continuu respirația. Victima care nu răspunde și nu respiră normal este în stop cardiac și are nevoie imediat de resuscitare.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Resuscitarea cardio-pulmonară la adult se face astfel:</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pe o suprafață tare;</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așază podul unei palme pe jumătatea de jos a sternului („în centrul pieptului") și cealaltă palmă peste prima și, cu brațele întinse, apasă pieptul cu 5–6 cm, cu un ritm de 100–120 de compresii pe minut, lăsând pieptul să revină complet după fiecare compresie;</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instruit în acest sens alternează 30 de compresii cu 2 ventilații (30:2); salvatorul care nu este instruit sau nu dorește să facă ventilații execută compresii continue, fără întrerupere;</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resuscitarea continuă până când victima își revine, până când echipajul de urgență preia victima sau până când salvatorul este epuizat.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Dispecerul 112 poate ghida resuscitarea prin telefon.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Imediat ce este adus, se pornește, electrozii se lipesc pe pieptul gol al victimei, ca în desenul de pe ei, și se urmează instrucțiunile vocale ale aparatului. Nimeni nu atinge victima cât timp aparatul analizează ritmul inimii sau administrează șocul; după aceea, compresiile se reiau imediat. Fiecare lucrător trebuie să știe unde se află cel mai apropiat defibrilator.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Persoanei care s-a înecat cu mâncare sau cu un obiect și nu mai poate tuși i se aplică până la 5 lovituri puternice între omoplați și apoi, dacă este nevoie, până la 5 compresii abdominale, alternativ, până la eliberarea căilor respiratorii. Dacă persoana nu mai răspunde, se sună la 112 și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se oprește prin apăsare directă și fermă pe rană, cu o compresă sterilă sau cu un material curat, menținută fără întrerupere; după oprirea sângerării se aplică un pansament compresiv. Garoul se folosește numai la braț sau la picior, pentru o sângerare care pune viața în pericol și nu se oprește prin apăsare directă, și numai de persoane instruite să îl aplice; odată aplicat, garoul nu se mai slăbește.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Arsurile produse de căldură se răcesc imediat cu apă curentă rece sau răcoroasă, cel puțin 20 de minute, și se acoperă apoi lejer cu o compresă sterilă sau cu folie alimentară curată. Pielea atinsă de o substanță chimică se spală imediat cu multă apă, iar ochii stropiți cu o substanță chimică se spală continuu, 10–20 de minute, cu multă apă curată. Pe arsuri nu se pun gheață, creme sau alte substanțe, iar bășicile nu se sparg.</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expune unui pericol fără echipament și fără pregătire;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mută victima decât dacă există un pericol imediat sau dacă mutarea este necesară pentru resuscitare;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nimic de mâncat sau de băut unei victime care nu este complet conștientă;</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obiectele înfipte în corp, nu îndreaptă fracturile și nu pune la loc luxațiile;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victima nesupravegheată până la sosirea echipajului de urgență.</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 xml:space="preserve">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 xml:space="preserve">(1):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20"/>
          <w:szCs w:val="20"/>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20"/>
          <w:szCs w:val="20"/>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20"/>
          <w:szCs w:val="20"/>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20"/>
          <w:szCs w:val="20"/>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20"/>
          <w:szCs w:val="20"/>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20"/>
          <w:szCs w:val="20"/>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20"/>
          <w:szCs w:val="20"/>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Modul de utilizare a stingătoarelor: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20"/>
          <w:szCs w:val="20"/>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20"/>
          <w:szCs w:val="20"/>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20"/>
          <w:szCs w:val="20"/>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1 alin. (1),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 xml:space="preserve">O.U.G. 195/2002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7) </w:t>
      </w:r>
      <w:r>
        <w:rPr>
          <w:rFonts w:eastAsia="Arial" w:cs="Arial" w:ascii="Arial" w:hAnsi="Arial"/>
          <w:b w:val="false"/>
          <w:color w:val="auto"/>
          <w:spacing w:val="0"/>
          <w:w w:val="100"/>
          <w:sz w:val="20"/>
          <w:szCs w:val="20"/>
          <w:lang w:val="ro-RO"/>
        </w:rPr>
        <w:t xml:space="preserve">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8) </w:t>
      </w:r>
      <w:r>
        <w:rPr>
          <w:rFonts w:eastAsia="Arial" w:cs="Arial" w:ascii="Arial" w:hAnsi="Arial"/>
          <w:b w:val="false"/>
          <w:color w:val="auto"/>
          <w:spacing w:val="0"/>
          <w:w w:val="100"/>
          <w:sz w:val="20"/>
          <w:szCs w:val="20"/>
          <w:lang w:val="ro-RO"/>
        </w:rPr>
        <w:t xml:space="preserve">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10 alin. (1),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31) </w:t>
      </w:r>
      <w:r>
        <w:rPr>
          <w:rFonts w:eastAsia="Arial" w:cs="Arial" w:ascii="Arial" w:hAnsi="Arial"/>
          <w:b w:val="false"/>
          <w:color w:val="auto"/>
          <w:spacing w:val="0"/>
          <w:w w:val="100"/>
          <w:sz w:val="20"/>
          <w:szCs w:val="20"/>
          <w:lang w:val="ro-RO"/>
        </w:rPr>
        <w:t xml:space="preserve">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 xml:space="preserve">regulament</w:t>
      </w:r>
      <w:r>
        <w:rPr>
          <w:rFonts w:eastAsia="Arial" w:cs="Arial" w:ascii="Arial" w:hAnsi="Arial"/>
          <w:b w:val="false"/>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56) </w:t>
      </w:r>
      <w:r>
        <w:rPr>
          <w:rFonts w:eastAsia="Arial" w:cs="Arial" w:ascii="Arial" w:hAnsi="Arial"/>
          <w:b w:val="false"/>
          <w:color w:val="auto"/>
          <w:spacing w:val="0"/>
          <w:w w:val="100"/>
          <w:sz w:val="20"/>
          <w:szCs w:val="20"/>
          <w:lang w:val="ro-RO"/>
        </w:rPr>
        <w:t xml:space="preserve">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 xml:space="preserve">regulament</w:t>
      </w:r>
      <w:r>
        <w:rPr>
          <w:rFonts w:eastAsia="Arial" w:cs="Arial" w:ascii="Arial" w:hAnsi="Arial"/>
          <w:b w:val="false"/>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58) </w:t>
      </w:r>
      <w:r>
        <w:rPr>
          <w:rFonts w:eastAsia="Arial" w:cs="Arial" w:ascii="Arial" w:hAnsi="Arial"/>
          <w:b w:val="false"/>
          <w:color w:val="auto"/>
          <w:spacing w:val="0"/>
          <w:w w:val="100"/>
          <w:sz w:val="20"/>
          <w:szCs w:val="20"/>
          <w:lang w:val="ro-RO"/>
        </w:rPr>
        <w:t xml:space="preserve">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195/2002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 xml:space="preserve">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 xml:space="preserve">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20"/>
        <w:szCs w:val="20"/>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20"/>
        <w:szCs w:val="20"/>
        <w:effect w:val="none"/>
        <w:lang w:val="it-CH"/>
      </w:rPr>
    </w:lvl>
    <w:lvl w:ilvl="3">
      <w:start w:val="1"/>
      <w:numFmt w:val="decimal"/>
      <w:lvlText w:val="%4."/>
      <w:lvlJc w:val="left"/>
      <w:pPr>
        <w:tabs>
          <w:tab w:val="num" w:pos="720"/>
        </w:tabs>
        <w:ind w:left="720" w:hanging="360"/>
      </w:pPr>
      <w:rPr>
        <w:b/>
        <w:i w:val="false"/>
        <w:sz w:val="20"/>
        <w:szCs w:val="20"/>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20"/>
        <w:szCs w:val="20"/>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5">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6">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7">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lvlOverride w:ilvl="0">
      <w:startOverride w:val="1"/>
    </w:lvlOverride>
    <w:lvlOverride w:ilvl="1">
      <w:startOverride w:val="1"/>
    </w:lvlOverride>
    <w:lvlOverride w:ilvl="2">
      <w:startOverride w:val="1"/>
    </w:lvlOverride>
  </w:num>
  <w:num w:numId="76">
    <w:abstractNumId w:val="75"/>
    <w:lvlOverride w:ilvl="0">
      <w:startOverride w:val="1"/>
    </w:lvlOverride>
    <w:lvlOverride w:ilvl="1">
      <w:startOverride w:val="1"/>
    </w:lvlOverride>
    <w:lvlOverride w:ilvl="2">
      <w:startOverride w:val="1"/>
    </w:lvlOverride>
  </w:num>
  <w:num w:numId="77">
    <w:abstractNumId w:val="75"/>
    <w:lvlOverride w:ilvl="0">
      <w:startOverride w:val="1"/>
    </w:lvlOverride>
    <w:lvlOverride w:ilvl="1">
      <w:startOverride w:val="1"/>
    </w:lvlOverride>
    <w:lvlOverride w:ilvl="2">
      <w:startOverride w:val="1"/>
    </w:lvlOverride>
  </w:num>
  <w:num w:numId="78">
    <w:abstractNumId w:val="76"/>
    <w:lvlOverride w:ilvl="0">
      <w:startOverride w:val="1"/>
    </w:lvlOverride>
    <w:lvlOverride w:ilvl="1">
      <w:startOverride w:val="1"/>
    </w:lvlOverride>
    <w:lvlOverride w:ilvl="2">
      <w:startOverride w:val="1"/>
    </w:lvlOverride>
  </w:num>
  <w:num w:numId="79">
    <w:abstractNumId w:val="77"/>
    <w:lvlOverride w:ilvl="0">
      <w:startOverride w:val="1"/>
    </w:lvlOverride>
    <w:lvlOverride w:ilvl="1">
      <w:startOverride w:val="1"/>
    </w:lvlOverride>
    <w:lvlOverride w:ilvl="2">
      <w:startOverride w:val="1"/>
    </w:lvlOverride>
  </w:num>
  <w:num w:numId="80">
    <w:abstractNumId w:val="77"/>
    <w:lvlOverride w:ilvl="0">
      <w:startOverride w:val="1"/>
    </w:lvlOverride>
    <w:lvlOverride w:ilvl="1">
      <w:startOverride w:val="1"/>
    </w:lvlOverride>
    <w:lvlOverride w:ilvl="2">
      <w:startOverride w:val="1"/>
    </w:lvlOverride>
  </w:num>
  <w:num w:numId="81">
    <w:abstractNumId w:val="77"/>
    <w:lvlOverride w:ilvl="0">
      <w:startOverride w:val="1"/>
    </w:lvlOverride>
    <w:lvlOverride w:ilvl="1">
      <w:startOverride w:val="1"/>
    </w:lvlOverride>
    <w:lvlOverride w:ilvl="2">
      <w:startOverride w:val="1"/>
    </w:lvlOverride>
  </w:num>
  <w:num w:numId="82">
    <w:abstractNumId w:val="77"/>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