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dacă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Protecției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20"/>
          <w:szCs w:val="20"/>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20"/>
          <w:szCs w:val="20"/>
        </w:rPr>
      </w:pPr>
      <w:r>
        <w:rPr>
          <w:rFonts w:ascii="Arial" w:hAnsi="Arial" w:cs="Arial" w:eastAsia="Arial"/>
          <w:color w:val="auto"/>
          <w:sz w:val="20"/>
          <w:szCs w:val="20"/>
          <w:lang w:val="ro-RO"/>
        </w:rPr>
        <w:t xml:space="preserve">Grila de evaluare a riscurilor (Anexa 4) este de fapt transpunerea sub formă tabelară a graficului din figura 1.5 b prezentat în subcapitolul precedent. Liniile din tabel sunt liniile claselor de gravitate din grafic, iar coloanele – coloanele claselor de probabilitate. Fiecare căsuță corespunde câte unui punct din grafic, de coordonatele g, p.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Scala cuprinde în fapt cele 7 zone din matricea Mg, p (subcapitolul II.I),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Nivelul de securitate (NS) pe loc de muncă se identifică pe Scala de încadrare a nivelurilor de risc/ securitate, construită pe principiul proporționalității inverse dintre nivelul de risc și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corect și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cantSplit/>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unei evaluări obiective și actualizate periodic, care contribuie în mod cert la creșterea performanțelor productive ale angajaților, la eficiența proceselor de muncă și la creșterea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s-au stabilit necesitatea întocmirii unor noi proceduri,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V.1. completarea metodei prin efectuarea ierarhizării riscurilor evaluate;</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V.2. 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V.3. 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tcMar>
              <w:left w:w="28" w:type="dxa"/>
              <w:right w:w="28" w:type="dxa"/>
            </w:tcM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20"/>
          <w:szCs w:val="20"/>
        </w:rPr>
      </w:pPr>
      <w:r>
        <w:rPr>
          <w:rFonts w:ascii="Arial" w:hAnsi="Arial" w:cs="Arial" w:eastAsia="Arial"/>
          <w:color w:val="auto"/>
          <w:sz w:val="20"/>
          <w:szCs w:val="20"/>
          <w:lang w:val="ro-RO"/>
        </w:rPr>
        <w:t xml:space="preserve">Darabont, Al., Darabont, Dan, Constantin, G., Darabont, Doru, Evaluarea calității de securitate a echipamentelor tehnice, Editura AGIR, București, 2001.</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20"/>
          <w:szCs w:val="20"/>
          <w:lang w:val="ro-RO"/>
        </w:rPr>
      </w:pPr>
      <w:r>
        <w:rPr>
          <w:rFonts w:eastAsia="Arial" w:cs="Arial" w:ascii="Arial" w:hAnsi="Arial"/>
          <w:color w:val="auto"/>
          <w:spacing w:val="0"/>
          <w:w w:val="100"/>
          <w:sz w:val="20"/>
          <w:szCs w:val="20"/>
          <w:lang w:val="ro-RO"/>
        </w:rPr>
        <w:t xml:space="preserve">Legea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 xml:space="preserve">.</w:t>
      </w:r>
    </w:p>
    <w:p>
      <w:pPr>
        <w:pStyle w:val="Normal"/>
        <w:widowControl/>
        <w:numPr>
          <w:ilvl w:val="0"/>
          <w:numId w:val="16"/>
        </w:numPr>
        <w:shd w:val="clear" w:color="auto" w:fill="FFFFFF"/>
        <w:spacing w:before="0" w:after="40"/>
        <w:jc w:val="left"/>
        <w:rPr>
          <w:rFonts w:ascii="Arial" w:hAnsi="Arial" w:cs="Arial"/>
          <w:b/>
          <w:sz w:val="20"/>
          <w:szCs w:val="20"/>
        </w:rPr>
      </w:pPr>
      <w:r>
        <w:rPr>
          <w:rFonts w:eastAsia="Arial" w:cs="Arial" w:ascii="Arial" w:hAnsi="Arial"/>
          <w:b/>
          <w:color w:val="auto"/>
          <w:spacing w:val="0"/>
          <w:w w:val="100"/>
          <w:sz w:val="20"/>
          <w:szCs w:val="20"/>
          <w:lang w:val="ro-RO"/>
        </w:rPr>
        <w:t xml:space="preserve">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319/2006.</w:t>
      </w:r>
    </w:p>
    <w:p>
      <w:pPr>
        <w:pStyle w:val="Normal"/>
        <w:widowControl/>
        <w:numPr>
          <w:ilvl w:val="0"/>
          <w:numId w:val="16"/>
        </w:numPr>
        <w:shd w:val="clear" w:color="auto" w:fill="FFFFFF"/>
        <w:spacing w:before="0" w:after="40"/>
        <w:jc w:val="left"/>
        <w:rPr>
          <w:rFonts w:ascii="Arial" w:hAnsi="Arial" w:cs="Arial"/>
          <w:bCs/>
          <w:sz w:val="20"/>
          <w:szCs w:val="20"/>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 xml:space="preserve">pentru modificarea și completarea Normelor metodologice de aplicare a prevederilor Legii 319/2006, aprobate prin H.G. 1425/2006</w:t>
      </w:r>
      <w:r>
        <w:rPr>
          <w:rFonts w:eastAsia="Arial" w:cs="Arial" w:ascii="Arial" w:hAnsi="Arial"/>
          <w:bCs/>
          <w:i/>
          <w:color w:val="auto"/>
          <w:spacing w:val="0"/>
          <w:w w:val="100"/>
          <w:sz w:val="20"/>
          <w:szCs w:val="20"/>
          <w:lang w:val="ro-RO"/>
        </w:rPr>
        <w:t xml:space="preserve">.</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tehnică, condiții de mediu,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Protecției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Aducerea la cunoștința conducătorului locului de muncă a oricărei defecțiuni tehnice sau a oricărei alte situații care constituie un pericol de accidentare sau îmbolnăvire profesională;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20"/>
          <w:szCs w:val="20"/>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927"/>
        </w:tabs>
        <w:ind w:left="927" w:hanging="567"/>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