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 2006 Art. 11, alin. (1), lit. b) și din H.G. 1425/ 2006 Art. 103, alin. (1)–(5), {{client.representativeName}},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oprirea echipamentului de muncă și/ sau a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asumă, în calitate de personal desemnat,{{/workplaceManagersAssumeImminentDanger}}{{^workplaceManagersAssumeImminentDanger}}desemnează pe {{imminentDangerText}}, cu{{/workplaceManagersAssumeImminentDanger}}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mijloacelor de comunicare necesare contactării serviciilor specializate: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personalul desemnat sau reprezentantul legal al angajatorului.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