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52 – 56,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 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 sau unității, inclusiv orice alt loc din aria întreprinderii și/ 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 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 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 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 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 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 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 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 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 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 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r>
      <w:bookmarkEnd w:id="90"/>
      <w:r>
        <w:rPr>
          <w:rFonts w:eastAsia="Arial" w:cs="Arial" w:ascii="Arial" w:hAnsi="Arial"/>
          <w:color w:val="auto"/>
          <w:spacing w:val="0"/>
          <w:w w:val="100"/>
          <w:sz w:val="20"/>
          <w:szCs w:val="20"/>
          <w:u w:val="none"/>
          <w:lang w:val="ro-RO"/>
        </w:rPr>
        <w:t xml:space="preserve">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r>
        <w:rPr>
          <w:rFonts w:eastAsia="Arial" w:cs="Arial" w:ascii="Arial" w:hAnsi="Arial"/>
          <w:color w:val="auto"/>
          <w:spacing w:val="0"/>
          <w:w w:val="100"/>
          <w:sz w:val="20"/>
          <w:szCs w:val="20"/>
          <w:u w:val="none"/>
          <w:lang w:val="ro-RO"/>
        </w:rPr>
        <w:t xml:space="preserve"> </w:t>
      </w: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 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 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 sau transformări după data intrării în vigoare a prezentei hotărâri, angajatorul trebuie să ia toate măsurile necesare pentru a se asigura că aceste modificări, extinderi și/ 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
            </w:r>
            <w:r>
              <w:rPr>
                <w:rFonts w:eastAsia="Arial" w:cs="Arial" w:ascii="Arial" w:hAnsi="Arial"/>
                <w:color w:val="auto"/>
                <w:spacing w:val="0"/>
                <w:w w:val="100"/>
                <w:sz w:val="20"/>
                <w:szCs w:val="20"/>
                <w:lang w:val="ro-RO"/>
              </w:rPr>
              <w:t/>
            </w:r>
            <w:r>
              <w:rPr>
                <w:rFonts w:eastAsia="Arial" w:cs="Arial" w:ascii="Arial" w:hAnsi="Arial"/>
                <w:color w:val="auto"/>
                <w:spacing w:val="0"/>
                <w:w w:val="100"/>
                <w:sz w:val="20"/>
                <w:szCs w:val="20"/>
                <w:vertAlign w:val="subscript"/>
                <w:lang w:val="ro-RO"/>
              </w:rPr>
              <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 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 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 sau poziția brațelor și/ 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1</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 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 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ind w:hanging="360" w:left="14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ind w:hanging="360" w:left="14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ind w:hanging="360" w:left="108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ind w:hanging="360" w:left="14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ind w:hanging="360" w:left="14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2</w:t>
      </w:r>
      <w:r>
        <w:rPr>
          <w:rFonts w:eastAsia="Arial" w:cs="Arial" w:ascii="Arial" w:hAnsi="Arial"/>
          <w:i/>
          <w:color w:val="auto"/>
          <w:spacing w:val="0"/>
          <w:w w:val="100"/>
          <w:sz w:val="20"/>
          <w:szCs w:val="20"/>
          <w:lang w:val="ro-RO"/>
        </w:rPr>
        <w:t xml:space="preserve">)</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SCARĂ</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4</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5</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6</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7</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8</w:t>
      </w:r>
      <w:r>
        <w:rPr>
          <w:rFonts w:eastAsia="Arial" w:cs="Arial" w:ascii="Arial" w:hAnsi="Arial"/>
          <w:i/>
          <w:color w:val="auto"/>
          <w:spacing w:val="0"/>
          <w:w w:val="100"/>
          <w:sz w:val="20"/>
          <w:szCs w:val="20"/>
          <w:lang w:val="ro-RO"/>
        </w:rPr>
        <w:t xml:space="preserve">)</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 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 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i/>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 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 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 xml:space="preserve">–</w:t>
      </w:r>
      <w:r>
        <w:rPr>
          <w:rFonts w:eastAsia="Arial" w:cs="Arial" w:ascii="Arial" w:hAnsi="Arial"/>
          <w:b w:val="false"/>
          <w:i/>
          <w:color w:val="auto"/>
          <w:spacing w:val="0"/>
          <w:w w:val="100"/>
          <w:sz w:val="20"/>
          <w:szCs w:val="20"/>
          <w:lang w:val="ro-RO"/>
        </w:rPr>
        <w:t xml:space="preserve"> Norma de muncă – Art. 131)</w:t>
      </w:r>
      <w:r>
        <w:rPr>
          <w:rFonts w:eastAsia="Arial" w:cs="Arial" w:ascii="Arial" w:hAnsi="Arial"/>
          <w:b w:val="false"/>
          <w:color w:val="auto"/>
          <w:spacing w:val="0"/>
          <w:w w:val="100"/>
          <w:sz w:val="20"/>
          <w:szCs w:val="20"/>
          <w:lang w:val="ro-RO"/>
        </w:rPr>
        <w:t xml:space="preserve">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lit. c) și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 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schimba îmbrăcămintea personală, echipamentul individual de protecție sau orice alt echipament pus la dispoziție de angajator, dacă se afla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durata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 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 xml:space="preserve">(Preluare din H.G. 1425/ 2006 – Art. 116</w:t>
      </w:r>
      <w:r>
        <w:rPr>
          <w:rStyle w:val="ar1"/>
          <w:rFonts w:eastAsia="Arial" w:cs="Arial" w:ascii="Arial" w:hAnsi="Arial"/>
          <w:b/>
          <w:bCs w:val="false"/>
          <w:i/>
          <w:color w:val="auto"/>
          <w:spacing w:val="0"/>
          <w:w w:val="100"/>
          <w:sz w:val="20"/>
          <w:szCs w:val="20"/>
          <w:vertAlign w:val="superscript"/>
          <w:lang w:val="ro-RO"/>
        </w:rPr>
        <w:t xml:space="preserve">1</w:t>
      </w:r>
      <w:r>
        <w:rPr>
          <w:rFonts w:eastAsia="Arial" w:cs="Arial" w:ascii="Arial" w:hAnsi="Arial"/>
          <w:b w:val="false"/>
          <w:i/>
          <w:color w:val="auto"/>
          <w:spacing w:val="0"/>
          <w:w w:val="100"/>
          <w:sz w:val="20"/>
          <w:szCs w:val="20"/>
          <w:lang w:val="ro-RO"/>
        </w:rPr>
        <w:t xml:space="preserve">)</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 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Asigurătorul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asigurător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Asigurătorul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asigurător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 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 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 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 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de lăuzie obligatoriu, salariatele prevăzute la art. 2 lit. d) și e),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 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 sau a unității, angajatorul trebuie să ia măsuri corespunzătoare, astfel încât lucrătorii și/ 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 sau unității, în general, cât și la nivelul fiecărui post de lucru și/ 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 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 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 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 sau unități din exterior, care desfășoară activități în întreprinderea și/ 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 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 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 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i/>
          <w:color w:val="auto"/>
          <w:spacing w:val="0"/>
          <w:w w:val="100"/>
          <w:sz w:val="20"/>
          <w:szCs w:val="20"/>
          <w:lang w:val="ro-RO"/>
        </w:rPr>
        <w:t xml:space="preserve"/>
      </w:r>
      <w:r>
        <w:rPr>
          <w:rFonts w:eastAsia="Arial" w:cs="Arial" w:ascii="Arial" w:hAnsi="Arial"/>
          <w:b w:val="false"/>
          <w:i/>
          <w:color w:val="auto"/>
          <w:spacing w:val="0"/>
          <w:w w:val="100"/>
          <w:sz w:val="20"/>
          <w:szCs w:val="20"/>
          <w:shd w:fill="FFFFFF" w:val="clear"/>
          <w:lang w:val="ro-RO"/>
        </w:rPr>
        <w:t xml:space="preserve">(Preluare din H.G. 767/ 2016 – Art. II, pct. 1)</w:t>
      </w:r>
      <w:r>
        <w:rPr>
          <w:rFonts w:eastAsia="Arial" w:cs="Arial" w:ascii="Arial" w:hAnsi="Arial"/>
          <w:b w:val="false"/>
          <w:color w:val="auto"/>
          <w:spacing w:val="0"/>
          <w:w w:val="100"/>
          <w:sz w:val="20"/>
          <w:szCs w:val="20"/>
          <w:shd w:fill="FFFFFF" w:val="clear"/>
          <w:lang w:val="ro-RO"/>
        </w:rPr>
        <w:t xml:space="preserve"> Art. 80¹. - Durata instruirii lucrătorilor în domeniul securității și sănătății în muncă, pentru fiecare dintre cele 3 faze prevăzute la art. 77 din H.G. 1425/ 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 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 sau unitate cu permisiunea angajatorului, cu excepția altor participanți la procesul de muncă, așa cum sunt definiți potrivit art. 5 lit. c) din Legea 319/ 2006, angajatorul stabilește prin regulamentul intern instrucțiuni privind deplasarea acestora în întreprindere și/ 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 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 sau unității respective, riscurile pentru securitatea și sănătatea lor, precum și măsurile și activitățile de prevenire și protecție la nivelul întreprinderii și/ 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i/>
          <w:color w:val="auto"/>
          <w:spacing w:val="0"/>
          <w:w w:val="100"/>
          <w:sz w:val="20"/>
          <w:szCs w:val="20"/>
          <w:lang w:val="ro-RO"/>
        </w:rPr>
        <w:t xml:space="preserve">(Preluare din H.G. 1425/ 2006 – Instruirea lucrătorilor – Art. 83)</w:t>
      </w:r>
      <w:r>
        <w:rPr>
          <w:rFonts w:eastAsia="Arial" w:cs="Arial" w:ascii="Arial" w:hAnsi="Arial"/>
          <w:b w:val="false"/>
          <w:color w:val="auto"/>
          <w:spacing w:val="0"/>
          <w:w w:val="100"/>
          <w:sz w:val="20"/>
          <w:szCs w:val="20"/>
          <w:lang w:val="ro-RO"/>
        </w:rPr>
        <w:t xml:space="preserve">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 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 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 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 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 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 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 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 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 sau unității potrivit prevederilor art. 15 alin. (1) pct. 8, în funcție de condițiile locului de muncă și/ 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vizavi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participând la un curs privind acordarea primului ajutor, adecvat mărimii și/ sau riscurilor spe</w:t>
      </w:r>
      <w:r>
        <w:rPr>
          <w:rStyle w:val="tax1"/>
          <w:rFonts w:eastAsia="Arial" w:cs="Arial" w:ascii="Arial" w:hAnsi="Arial"/>
          <w:b w:val="false"/>
          <w:color w:val="auto"/>
          <w:spacing w:val="0"/>
          <w:w w:val="100"/>
          <w:sz w:val="20"/>
          <w:szCs w:val="20"/>
          <w:lang w:val="ro-RO"/>
        </w:rPr>
        <w:t>cifice unității (conform Legii 319/ 2006, art. 10, alin. (3)).</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 – 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 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al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amenajării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în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punctelor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 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1 - 7)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