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Prezentul document a fost reîntocmit în conformitate cu art. 7 alin. (3) lit. i), art. 20 alin. (1) lit. a) din Legea 319/ 2006 (Legea securității și sănătății în muncă), respectiv cu art. 15 alin. (1) pct.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319/ 2006, Art. 1, 3, 5 – 7, 9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H.G. 1425/ 2006, Art. 2, 14, 15, 28 – 31, 52 – 56, 74 – 100, 108 – 115, 116¹, 117, 118, 120, 121, 139, 141, 142;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 xml:space="preserve">Legea 53/ 2003 (actualizată), Art. 37 – 40, 111 – 132, 134, 135, 137,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ascii="Arial" w:hAnsi="Arial" w:cs="Arial" w:eastAsia="Arial"/>
          <w:color w:val="auto"/>
          <w:sz w:val="20"/>
          <w:szCs w:val="20"/>
          <w:lang w:val="ro-RO"/>
        </w:rPr>
        <w:t xml:space="preserve">Codul penal (Legea 286/ 2009), Art. 349, 350;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 xml:space="preserve">Art. 2, 3, 5, 6, Anexele 1, 2 (cu completări de mijloace de semnalizare),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355/ 2007, Art. 2, 5, 7 – 25, 27, 28, 30 – 34, 36, 37, 39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O.U.G. 99/ 2000, Art. 1, 3 – 6, 8, 9;</w:t>
      </w:r>
    </w:p>
    <w:p>
      <w:pPr>
        <w:pStyle w:val="Normal"/>
        <w:widowControl/>
        <w:numPr>
          <w:ilvl w:val="0"/>
          <w:numId w:val="36"/>
        </w:numPr>
        <w:spacing w:before="0" w:after="40"/>
        <w:jc w:val="left"/>
        <w:rPr>
          <w:rFonts w:ascii="Arial" w:hAnsi="Arial" w:cs="Arial"/>
          <w:i/>
          <w:sz w:val="18"/>
          <w:szCs w:val="18"/>
          <w:lang w:val="ro-RO" w:eastAsia="ro-RO"/>
        </w:rPr>
      </w:pPr>
      <w:r>
        <w:rPr>
          <w:rFonts w:ascii="Arial" w:hAnsi="Arial" w:cs="Arial" w:eastAsia="Arial"/>
          <w:color w:val="auto"/>
          <w:sz w:val="20"/>
          <w:szCs w:val="20"/>
          <w:lang w:val="ro-RO"/>
        </w:rPr>
        <w:t xml:space="preserve">H.G. 1048/ 2006 (republicată), Art. 3 – 7, 11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ascii="Arial" w:hAnsi="Arial" w:cs="Arial" w:eastAsia="Arial"/>
          <w:color w:val="auto"/>
          <w:sz w:val="20"/>
          <w:szCs w:val="20"/>
          <w:lang w:val="ro-RO"/>
        </w:rPr>
        <w:t xml:space="preserve">Legea 95/ 2006 (republicată), Art. 92 – 94;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xml:space="preserve">, Art. 28;</w:t>
      </w:r>
    </w:p>
    <w:p>
      <w:pPr>
        <w:pStyle w:val="Normal"/>
        <w:widowControl/>
        <w:numPr>
          <w:ilvl w:val="0"/>
          <w:numId w:val="36"/>
        </w:numPr>
        <w:spacing w:before="0" w:after="40"/>
        <w:jc w:val="left"/>
        <w:rPr>
          <w:rStyle w:val="tli1"/>
          <w:rFonts w:ascii="Arial" w:hAnsi="Arial" w:cs="Arial"/>
          <w:i/>
          <w:sz w:val="18"/>
          <w:szCs w:val="18"/>
          <w:lang w:val="ro-RO"/>
        </w:rPr>
      </w:pPr>
      <w:r>
        <w:rPr>
          <w:rFonts w:ascii="Arial" w:hAnsi="Arial" w:cs="Arial" w:eastAsia="Arial"/>
          <w:color w:val="auto"/>
          <w:sz w:val="20"/>
          <w:szCs w:val="20"/>
          <w:lang w:val="ro-RO"/>
        </w:rPr>
        <w:t xml:space="preserve">O.U.G. 96/ 2003, Art. 1 – 10, 12 – 21, Anexele 1, 2;</w:t>
      </w:r>
    </w:p>
    <w:p>
      <w:pPr>
        <w:pStyle w:val="Normal"/>
        <w:widowControl/>
        <w:numPr>
          <w:ilvl w:val="0"/>
          <w:numId w:val="36"/>
        </w:numPr>
        <w:spacing w:before="0" w:after="40"/>
        <w:jc w:val="left"/>
        <w:rPr>
          <w:rStyle w:val="tli1"/>
          <w:rFonts w:ascii="Arial" w:hAnsi="Arial" w:cs="Arial"/>
          <w:i/>
          <w:sz w:val="18"/>
          <w:szCs w:val="18"/>
          <w:lang w:val="ro-RO"/>
        </w:rPr>
      </w:pPr>
      <w:r>
        <w:rPr>
          <w:rFonts w:ascii="Arial" w:hAnsi="Arial" w:cs="Arial" w:eastAsia="Arial"/>
          <w:color w:val="auto"/>
          <w:sz w:val="20"/>
          <w:szCs w:val="20"/>
          <w:lang w:val="ro-RO"/>
        </w:rPr>
        <w:t xml:space="preserve">O.U.G. 158/ 2005, Art. 31;</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 xml:space="preserve">O.U.G. 195/ 2002 cu modificările și completările ulterioare, Art. 1, 5, 7 – 10, 20, 21, 29 – 33, 35, 36, 55 – 60, 66, 68, 70, 72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 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 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 – (3)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 xml:space="preserve">încetarea aptitudinii unei mașini, instalații, unui utilaj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 xml:space="preserve">factor propriu elementelor componente ale sistemului de muncă executant-sarcină de muncă-mijloace de producție-mediu de muncă și care, în condițiile unei situații periculoase, determină probabilitatea sau gravitatea producerii unei leziuni sau afectării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ascii="Arial" w:hAnsi="Arial" w:cs="Arial" w:eastAsia="Arial"/>
          <w:color w:val="auto"/>
          <w:sz w:val="20"/>
          <w:szCs w:val="20"/>
          <w:lang w:val="ro-RO"/>
        </w:rPr>
        <w:t xml:space="preserve">instruirea lucrătorilor în domeniul securității și sănătății în muncă – activitatea prin care lucrătorilor li se transmit cunoștințele și deprinderile necesare pentru desfășurarea activității în condiții de securitate și sănătate; cuprinde trei faze: instruirea introductiv-generală, instruirea la locul de muncă și instruirea periodică (H.G. 1425/ 2006, art. 77);</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 xml:space="preserve">sursa unei posibile leziuni sau afectări a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ascii="Arial" w:hAnsi="Arial" w:cs="Arial" w:eastAsia="Arial"/>
          <w:color w:val="auto"/>
          <w:sz w:val="20"/>
          <w:szCs w:val="20"/>
          <w:lang w:val="ro-RO"/>
        </w:rPr>
        <w:t xml:space="preserve">prevenirea - ansamblul procedeelor și măsurilor luate sau planificate la toate stadiile de lucru pentru evitarea pericolelor sau reducerea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 xml:space="preserve">prevenire realizată în stadiul de concepție/ 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 xml:space="preserve">probabilitatea asociată cu gravitatea unei posibile leziuni sau afectări 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 xml:space="preserve">orice zonă situată în interiorul sau în jurul echipamentului de muncă în care o persoană este expusă riscului de leziune sau afectare 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Fără a aduce atingere altor prevederi ale prezentei legi,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xml:space="preserve">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H.G.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 xml:space="preserve">să fie abilitat de Comisia de abilitare a serviciilor externe de prevenire și protecție și de avizare a documentațiilor cu caracter tehnic de informare și instruire în domeniul securității și sănătății în muncă, în conformitate cu procedura stabilită la art. 35 – 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b/>
          <w:bCs/>
          <w:color w:val="auto"/>
          <w:spacing w:val="0"/>
          <w:w w:val="100"/>
          <w:sz w:val="20"/>
          <w:szCs w:val="20"/>
          <w:u w:val="none"/>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 xml:space="preserve">însoțesc echipa/ 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prevăzute la art. 24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(1¹)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(5)</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b/>
          <w:bCs/>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 xml:space="preserve">ptitudinea în muncă reprezintă capacitatea lucrătorului din punct de vedere medical de a desfășura activitatea la locul de muncă în profesia/ 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stabilirea aptitudinii în muncă, medicul specialist de medicina muncii poate solicita și alte investigații și examene medicale de specialitate, suplimentare celor prevăzute la art. 8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 xml:space="preserve">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anamneza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b/>
          <w:bCs/>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b/>
          <w:bCs/>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r>
        <w:rPr>
          <w:rFonts w:eastAsia="Arial" w:cs="Arial" w:ascii="Arial" w:hAnsi="Arial"/>
          <w:b/>
          <w:bCs/>
          <w:color w:val="auto"/>
          <w:spacing w:val="0"/>
          <w:w w:val="100"/>
          <w:sz w:val="20"/>
          <w:szCs w:val="20"/>
          <w:u w:val="none"/>
          <w:lang w:val="ro-RO"/>
        </w:rPr>
        <w:t xml:space="preserve">(6¹) </w:t>
      </w:r>
      <w:r>
        <w:rPr>
          <w:rStyle w:val="tal1"/>
          <w:rFonts w:eastAsia="Arial" w:cs="Arial" w:ascii="Arial" w:hAnsi="Arial"/>
          <w:color w:val="auto"/>
          <w:spacing w:val="0"/>
          <w:w w:val="100"/>
          <w:sz w:val="20"/>
          <w:szCs w:val="20"/>
          <w:lang w:val="ro-RO"/>
        </w:rPr>
        <w:t>Medicul de medicina muncii poate solicita medicului de familie adeverință/ scrisoare medicală care să ateste starea de sănătate a viitorului angajat.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 xml:space="preserve">În vederea conștientizării nevoilor și obiectivelor privind sănătatea și securitatea în muncă în rândul lucrătorilor, a angajatorilor sau a altor factori implicați în acest scop, medicii de medicina muncii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 xml:space="preserve">Contestația prevăzută la art. 30 din H.G. 355/ 2007 se adresează direcției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 xml:space="preserve">Direcția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 xml:space="preserve">46/ 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 xml:space="preserve">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H.G. 1091/ 2006,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ind w:left="1080" w:hanging="36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ind w:left="1080" w:hanging="36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ind w:left="1080" w:hanging="36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120"/>
        <w:ind w:left="1080" w:hanging="36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w:t>
      </w:r>
      <w:r>
        <w:rPr>
          <w:rFonts w:eastAsia="Arial" w:cs="Arial" w:ascii="Arial" w:hAnsi="Arial"/>
          <w:color w:val="auto"/>
          <w:spacing w:val="0"/>
          <w:w w:val="100"/>
          <w:sz w:val="20"/>
          <w:szCs w:val="20"/>
          <w:lang w:val="ro-RO"/>
        </w:rPr>
        <w:t>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 sensul prezentei hotărâri, prin echipament individual de protecție se înțelege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Sunt excluse din definiția cuprinsă la alin. (1):</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îmbrăcămintea de lucru și uniformele obișnuite care nu sunt proiectate în mod special pentru a proteja securitatea și sănătatea lucrătorului;</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folosit de serviciile de urgență și salvare;</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individual de protecție purtat sau folosit de armată, poliție ori de alte instituții de ordine publică;</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individual de protecție pentru mijloace de transport rutier;</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sportiv;</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echipamentul de autoapărare sau de descurajare;</w:t>
      </w:r>
    </w:p>
    <w:p>
      <w:pPr>
        <w:pStyle w:val="Normal"/>
        <w:widowControl/>
        <w:numPr>
          <w:ilvl w:val="0"/>
          <w:numId w:val="75"/>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dispozitivele purtabile pentru detectarea și semnalizarea riscurilor și factorilor nocivi.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4) Echipamentul individual de protecție trebuie utilizat atunci când riscurile nu pot fi evitate sau limitate suficient prin mijloacele tehnice de protecție colectivă ori prin măsurile, metodele sau procedurile de organizare a muncii.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5)</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trebuie să respecte cerințele esențiale de sănătate și securitate prevăzute de Regulamentul (UE) 2016/425 al Parlamentului European și al Consiliului din 9 martie 2016 privind echipamentele individuale de protecție și de abrogare a Directivei 89/686/CEE a Consiliului.</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Orice echipament individual de protecție trebuie să îndeplinească următoarele condiții:</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fie corespunzător pentru riscurile implicate, fără să conducă el însuși la un risc mărit;</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corespundă condițiilor existente la locul de muncă;</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ia în considerare cerințele ergonomice și starea sănătății lucrătorului;</w:t>
      </w:r>
    </w:p>
    <w:p>
      <w:pPr>
        <w:pStyle w:val="Normal"/>
        <w:widowControl/>
        <w:numPr>
          <w:ilvl w:val="0"/>
          <w:numId w:val="76"/>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să se potrivească în mod corect persoanei care îl poartă, după toate ajustările necesare.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6) 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7) 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Aceste condiții se stabilesc de angajator, cu consultarea lucrătorului desemnat sau a serviciului de prevenire și protecție (intern ori extern) și a lucrătorilor și/ sau a reprezentanților acestora.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11) Angajatorul informează mai întâi lucrătorul despre riscurile împotriva cărora îl protejează purtarea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12) Angajatorul asigură instruirea lucrătorului și, dacă este cazul, organizează antrenamente pentru modul de purtare a echipamentului individual de protecție.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13)</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Echipamentul individual de protecție poate fi utilizat numai în scopurile specificate și în conformitate cu fișa de instrucțiuni, cu excepția împrejurărilor specifice și excepționale.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Instrucțiunile trebuie să fie pe înțelesul lucrătorilor.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H.G. 1048/ 2006 – Art. 14)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Înainte de a alege echipamentul individual de protecție, angajatorul trebuie să evalueze dacă echipamentul individual de protecție pe care intenționează să îl folosească îndeplinește cerințele prevăzute la art. 5 și 6.</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Această evaluare cuprinde:</w:t>
      </w:r>
    </w:p>
    <w:p>
      <w:pPr>
        <w:pStyle w:val="Normal"/>
        <w:widowControl/>
        <w:numPr>
          <w:ilvl w:val="0"/>
          <w:numId w:val="7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analiza și evaluarea riscurilor care nu pot fi evitate prin alte mijloace;</w:t>
      </w:r>
    </w:p>
    <w:p>
      <w:pPr>
        <w:pStyle w:val="Normal"/>
        <w:widowControl/>
        <w:numPr>
          <w:ilvl w:val="0"/>
          <w:numId w:val="7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0"/>
          <w:numId w:val="77"/>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 xml:space="preserve">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nu se aplică semnalizării pentru introducerea pe piață a substanțelor și amestecurilor periculoase, a produselor și/ sau a echipamentelor, cu excepția cazului în care alte dispoziții legale fac referire în mod expres la aceasta.</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 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 xml:space="preserve">Atunci când riscurile nu pot fi evitate sau reduse suficient prin mijloace tehnice de protecție colectivă ori prin măsuri, metode sau procedee de organizare a muncii, angajatorul trebuie să prevadă semnalizarea de securitate și/ sau de sănătate la locul de muncă, în conformitate cu prevederile H.G. 971/ 2006,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 xml:space="preserve">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 xml:space="preserve">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MĂNUȘI OBLIGATORII</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SCARĂ</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ind w:left="1080" w:hanging="36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ind w:left="1080" w:hanging="36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 xml:space="preserve">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 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 xml:space="preserve">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dreptul de a constitui sau de a adera la un sindicat; m¹) dreptul de a solicita trecerea pe un post vacant care îi asigură condiții de muncă mai favorabile dacă și-a încheiat perioada de probă și are o vechime de cel puțin 6 luni la același angajator;</w:t>
      </w:r>
    </w:p>
    <w:p>
      <w:pPr>
        <w:pStyle w:val="Normal"/>
        <w:widowControl/>
        <w:numPr>
          <w:ilvl w:val="2"/>
          <w:numId w:val="1"/>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alte drepturi prevăzute de lege sau de contractele colective de muncă aplicabile.</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obligația de a respecta secretul de serviciu;</w:t>
      </w:r>
    </w:p>
    <w:p>
      <w:pPr>
        <w:pStyle w:val="Normal"/>
        <w:widowControl/>
        <w:numPr>
          <w:ilvl w:val="2"/>
          <w:numId w:val="23"/>
        </w:numPr>
        <w:spacing w:before="0" w:after="120"/>
        <w:jc w:val="left"/>
        <w:rPr>
          <w:rFonts w:ascii="Arial" w:hAnsi="Arial" w:cs="Arial"/>
          <w:sz w:val="18"/>
          <w:szCs w:val="18"/>
          <w:lang w:val="es-ES"/>
        </w:rPr>
      </w:pPr>
      <w:r>
        <w:rPr>
          <w:rFonts w:ascii="Arial" w:hAnsi="Arial" w:cs="Arial" w:eastAsia="Arial"/>
          <w:color w:val="auto"/>
          <w:sz w:val="20"/>
          <w:szCs w:val="20"/>
          <w:lang w:val="ro-RO"/>
        </w:rPr>
        <w:t xml:space="preserve">alte obligații prevăzute de lege sau de contractele colective de muncă aplicabile.</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ascii="Arial" w:hAnsi="Arial" w:cs="Arial" w:eastAsia="Arial"/>
          <w:color w:val="auto"/>
          <w:sz w:val="20"/>
          <w:szCs w:val="20"/>
          <w:lang w:val="ro-RO"/>
        </w:rPr>
        <w:t xml:space="preserve">să stabilească atribuțiile corespunzătoare fiecărui salariat, în condițiile legii;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constate săvârșirea abaterilor disciplinare și să aplice sancțiunile corespunzătoare, potrivit legii, contractului colectiv de muncă aplicabil și regulamentului intern;</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stabilească obiectivele de performanță individuală, precum și criteriile de evaluare a realizării acestora.</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Normal"/>
        <w:widowControl/>
        <w:numPr>
          <w:ilvl w:val="0"/>
          <w:numId w:val="32"/>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să răspundă motivat, în scris, în termen de 30 de zile de la primirea solicitării salariatului, prevăzută la art. 39 alin. (1) lit. m¹).</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 – (4)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 – (4)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 – 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 xml:space="preserve">denumirea/ numele angajatorului pe teritoriul căruia s-a produs accidentul și, dacă este cazul, denumirea/ numele angajatorului la care este/ 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 xml:space="preserve">sediul/ 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b/>
          <w:bCs/>
          <w:color w:val="auto"/>
          <w:spacing w:val="0"/>
          <w:w w:val="100"/>
          <w:sz w:val="20"/>
          <w:szCs w:val="20"/>
          <w:u w:val="none"/>
          <w:lang w:val="ro-RO"/>
        </w:rPr>
        <w:t>(4)</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b/>
          <w:bCs/>
          <w:color w:val="auto"/>
          <w:spacing w:val="0"/>
          <w:w w:val="100"/>
          <w:sz w:val="20"/>
          <w:szCs w:val="20"/>
          <w:u w:val="none"/>
          <w:lang w:val="ro-RO"/>
        </w:rPr>
        <w:t>(5)</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b/>
          <w:bCs/>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 xml:space="preserve">Cercetarea se face imediat după comunicare, în conformitate cu prevederile art. 29 alin. (1) din Legea 319/ 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b/>
          <w:bCs/>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b/>
          <w:bCs/>
          <w:color w:val="auto"/>
          <w:spacing w:val="0"/>
          <w:w w:val="100"/>
          <w:sz w:val="20"/>
          <w:szCs w:val="20"/>
          <w:u w:val="none"/>
          <w:lang w:val="ro-RO"/>
        </w:rPr>
        <w:t>(3)</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 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 2001 privind înființarea, organizarea și funcționarea serviciilor publice comunitare pentru situații de urgență, aprobată cu modificări și completări prin Legea nr. 363/ 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din Legea 346/ 2002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 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 – 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din Legea 346/ 2002, dar pentru care nu se mai recomandă programe individuale de recuperare conform prevederilor legale în vigoare, biletele de tratament se acordă în baza unei recomandări medicale emise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din Legea 346/ 2002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 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 – 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Heading1"/>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Legea 346/ 2002 – Rambursări de cheltuieli – Art. 49) (1)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ascii="Arial" w:hAnsi="Arial" w:cs="Arial" w:eastAsia="Arial"/>
          <w:color w:val="auto"/>
          <w:sz w:val="20"/>
          <w:szCs w:val="20"/>
          <w:lang w:val="ro-RO"/>
        </w:rPr>
        <w:t xml:space="preserve">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 2003 – Art. 3) (1)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prevină expunerea salariatelor prevăzute la art. 2 lit. c) – e) din O.U.G. 96/ 2003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 2003 – Art. 6) (1)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O.U.G. 96/ 2003 – Art. 10) (1) În cazul în care angajatorul, din motive justificate în mod obiectiv, nu poate să îndeplinească obligația prevăzută la art. 9 alin. (2) 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după data revenirii din concediul de lăuzie obligatoriu, salariatele prevăzute la art. 2 lit. d) și e) din O.U.G. 96/ 2003,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158/ 2005 – Art. 31) (1) Dreptul la concediul de risc maternal se acordă în condițiile prevăzute de Ordonanța de urgență a Guvernului nr. 96/ 2003 privind protecția maternității la locurile de muncă, aprobată cu modificări și completări prin Legea nr. 25/ 2004.</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 durata concediului de risc maternal se acordă o indemnizație de risc maternal care se suportă integral din bugetul Fondului național unic de asigurări sociale de sănătate.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Concediul și indemnizația de risc maternal se acordă fără condiție de stagiu de asigurare.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Cuantumul indemnizației prevăzute la art. 31 alin. (2) din O.U.G. 158/ 2005 reprezintă 75% din baza de calcul stabilită conform prevederilor art. 10 din O.U.G. 158/ 2005.</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O.U.G. 96/ 2003 – Art. 20) (1) Salariatele prevăzute la art. 2 lit. c) – e) din O.U.G. 96/ 2003 nu pot desfășura muncă în condiții cu caracter insalubru sau greu de suportat.</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În cazul în care o salariată care desfășoară în mod curent muncă cu caracter insalubru sau greu de suportat se încadrează în prevederile art. 2 lit. c) – e) din O.U.G. 96/ 2003, angajatorul are obligația ca, pe baza solicitării scrise a salariatei, să o transfere la un alt loc de muncă, cu menținerea salariului de bază brut lunar.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Denumirea și enumerarea muncilor cu caracter insalubru sau greu de suportat la care face referire art. 20 alin. (1) din O.U.G. 96/ 2003 sunt stabilite prin normele de aplicare a prezentei ordonanțe de urgență.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Prevederile art. 19 alin. (3) și (4) din O.U.G. 96/ 2003 se aplică în mod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 xml:space="preserve">Angajatorul trebuie să dispună de programe de instruire-testare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H.G. 1425/ 2006 – Instruirea lucrătorilor – Art. 81) (1) 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(3¹)</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(3²)</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(3³)</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 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(3)</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(4)</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ascii="Arial" w:hAnsi="Arial" w:cs="Arial" w:eastAsia="Arial"/>
          <w:color w:val="auto"/>
          <w:sz w:val="20"/>
          <w:szCs w:val="20"/>
          <w:lang w:val="ro-RO"/>
        </w:rPr>
        <w:t xml:space="preserve">(Preluare din H.G. 1425/ 2006 – Instruirea lucrătorilor – Art. 87 alin. (1) și (3)) (1) Durata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Persoanelor prevăzute la art. 82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bCs/>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sz w:val="20"/>
          <w:szCs w:val="20"/>
          <w:u w:val="none"/>
          <w:lang w:val="ro-RO"/>
        </w:rPr>
        <w:t>(2)</w:t>
      </w:r>
      <w:r>
        <w:rPr>
          <w:rStyle w:val="t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bCs/>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b/>
          <w:bCs/>
          <w:color w:val="auto"/>
          <w:spacing w:val="0"/>
          <w:w w:val="100"/>
          <w:sz w:val="20"/>
          <w:szCs w:val="20"/>
          <w:u w:val="none"/>
          <w:lang w:val="ro-RO"/>
        </w:rPr>
        <w:t>(2)</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ascii="Arial" w:hAnsi="Arial" w:cs="Arial" w:eastAsia="Arial"/>
          <w:color w:val="auto"/>
          <w:sz w:val="20"/>
          <w:szCs w:val="20"/>
          <w:lang w:val="ro-RO"/>
        </w:rPr>
        <w:t xml:space="preserve">(Preluare din H.G. 1425/ 2006 – Instruirea lucrătorilor – Art. 92 – conf. H.G. 767/ 2016, pct. 4) (2) Durata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 xml:space="preserve">Instruirea la locul de muncă se va efectua pe baza tematicilor întocmite de către angajatorul care și-a asumat atribuțiile din domeniul securității și sănătății în muncă/ lucrătorul desemnat/ serviciul intern/ 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ascii="Arial" w:hAnsi="Arial" w:cs="Arial" w:eastAsia="Arial"/>
          <w:color w:val="auto"/>
          <w:sz w:val="20"/>
          <w:szCs w:val="20"/>
          <w:lang w:val="ro-RO"/>
        </w:rPr>
        <w:t xml:space="preserve">(Preluare din H.G. 1425/ 2006 – Instruirea lucrătorilor – Art. 96 – conf. H.G. 767/ 2016, pct. 5) (1) Instruirea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Intervalul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 xml:space="preserve">Instruirea periodică 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 xml:space="preserve">Durata instruirii periodice prevăzute la art. 98 din H.G. 1425/ 2006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 xml:space="preserve">se va efectua pe baza tematicilor întocmite de către angajatorul care și-a asumat atribuțiile din domeniul securității și sănătății în muncă/ lucrătorul desemnat/ serviciul intern de prevenire și protecție/ 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Altfel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ascii="Arial" w:hAnsi="Arial" w:cs="Arial" w:eastAsia="Arial"/>
          <w:color w:val="auto"/>
          <w:sz w:val="20"/>
          <w:szCs w:val="20"/>
          <w:lang w:val="ro-RO"/>
        </w:rPr>
        <w:t xml:space="preserve">Accidentele de muncă,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Pentru ca atât lucrătorii, cât și angajatorii să înțeleagă importanța activităților de prevenire și protecție, este necesar ca pentru început fiecare să ia cunoștință de legislația în domeniul securității și sănătății în muncă. Dacă obligațiile legale nu sunt cunoscute, atât angajatorul, cât și lucrătorii nu își vor asuma răspunderile ce li se atribuie.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(1) Toate măsurile care se iau în domeniul securității și sănătății în muncă au la bază cel puțin o cerință legală, iar încălcarea acestor cerințe poate constitui contravenție, sancționată cu amendă, sau, atunci când creează un pericol iminent de producere a unui accident de muncă sau de îmbolnăvire profesională, infracțiune, pedepsită potrivit Codului penal cu închisoare de până la 3 ani sau cu amendă.</w:t>
      </w:r>
    </w:p>
    <w:p>
      <w:pPr>
        <w:pStyle w:val="Normal"/>
        <w:keepNext/>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Măsurile care se pot lua pentru diminuarea sau înlăturarea pericolelor de accidentare sunt tehnice, organizatorice și igienico-sanitare. Neluarea sau nerespectarea acestor măsuri, atunci când creează un pericol iminent de producere a unui accident de muncă sau de îmbolnăvire profesională, constituie infracțiune potrivit Codului penal, care prevede următoarele: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Codul penal – Art. 349) Neluarea măsurilor legale de securitate și sănătate în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Neluarea vreuneia dintre măsurile legale de securitate și sănătate în muncă de către persoana care avea îndatorirea de a lua aceste măsuri, dacă se creează un pericol iminent de producere a unui accident de muncă sau de îmbolnăvire profesională, se pedepsește cu închisoare de la 6 luni la 3 ani sau cu amendă.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Fapta prevăzută în alin. (1) săvârșită din culpă se pedepsește cu închisoare de la 3 luni la un an sau cu amendă.</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(Preluare din Codul penal – Art. 350) Nerespectarea măsurilor legale de securitate și sănătate în muncă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(1) </w:t>
      </w:r>
      <w:r>
        <w:rPr>
          <w:rFonts w:ascii="Arial" w:hAnsi="Arial" w:cs="Arial" w:eastAsia="Arial"/>
          <w:color w:val="auto"/>
          <w:sz w:val="20"/>
          <w:szCs w:val="20"/>
          <w:lang w:val="ro-RO"/>
        </w:rPr>
        <w:t xml:space="preserve">Nerespectarea de către orice persoană a obligațiilor și a măsurilor stabilite cu privire la securitatea și sănătatea în muncă, dacă prin aceasta se creează un pericol iminent de producere a unui accident de muncă sau de îmbolnăvire profesională, se pedepsește cu închisoare de la 6 luni la 3 ani sau cu amendă.</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(2) </w:t>
      </w:r>
      <w:r>
        <w:rPr>
          <w:rFonts w:ascii="Arial" w:hAnsi="Arial" w:cs="Arial" w:eastAsia="Arial"/>
          <w:color w:val="auto"/>
          <w:sz w:val="20"/>
          <w:szCs w:val="20"/>
          <w:lang w:val="ro-RO"/>
        </w:rPr>
        <w:t xml:space="preserve">Cu aceeași pedeapsă se sancționează repunerea în funcțiune a instalațiilor, mașinilor și utilajelor, anterior eliminării tuturor deficiențelor pentru care s-a luat măsura opririi lor.</w:t>
      </w:r>
    </w:p>
    <w:p>
      <w:pPr>
        <w:pStyle w:val="Normal"/>
        <w:widowControl/>
        <w:spacing w:before="0" w:after="120"/>
        <w:ind w:hanging="0"/>
        <w:jc w:val="left"/>
        <w:rPr>
          <w:rFonts w:ascii="Arial" w:hAnsi="Arial" w:cs="Arial"/>
          <w:sz w:val="18"/>
          <w:szCs w:val="18"/>
          <w:lang w:val="ro-RO"/>
        </w:rPr>
      </w:pPr>
      <w:r>
        <w:rPr>
          <w:rFonts w:ascii="Arial" w:hAnsi="Arial" w:cs="Arial" w:eastAsia="Arial"/>
          <w:b/>
          <w:color w:val="auto"/>
          <w:sz w:val="20"/>
          <w:szCs w:val="20"/>
          <w:lang w:val="ro-RO"/>
        </w:rPr>
        <w:t xml:space="preserve">(3) </w:t>
      </w:r>
      <w:r>
        <w:rPr>
          <w:rFonts w:ascii="Arial" w:hAnsi="Arial" w:cs="Arial" w:eastAsia="Arial"/>
          <w:color w:val="auto"/>
          <w:sz w:val="20"/>
          <w:szCs w:val="20"/>
          <w:lang w:val="ro-RO"/>
        </w:rPr>
        <w:t xml:space="preserve">Faptele prevăzute în alin. (1) și alin. (2) săvârșite din culpă se pedepsesc cu închisoare de la 3 luni la un an sau cu amendă.</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Răspunderea juridică pentru încălcarea legislației în domeniul securității și sănătății în muncă poate privi atât angajatorul, cât și lucrătorii și poate fi, după caz:</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disciplinară, pentru lucrătorii care încalcă regulile de securitate și sănătate în muncă, potrivit Codului muncii, regulamentului intern și contractului colectiv de muncă aplicabil;</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patrimonială, pentru pagubele produse, potrivit Codului muncii și legii civile;</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contravențională: contravențiile prevăzute de Legea 319/ 2006, Capitolul IX (art. 39 – 43), se sancționează cu amenzi cuprinse între 2.000 lei și 10.000 lei, care se aplică angajatorilor; constatarea contravențiilor și aplicarea amenzilor se fac de către inspectorii de muncă, iar pentru unele fapte și de către inspectorii sanitari;</w:t>
      </w:r>
    </w:p>
    <w:p>
      <w:pPr>
        <w:pStyle w:val="Normal"/>
        <w:widowControl/>
        <w:numPr>
          <w:ilvl w:val="0"/>
          <w:numId w:val="78"/>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penală: infracțiunile prevăzute inițial de Legea 319/ 2006, Capitolul VIII (art. 37 – 38), au fost abrogate de Legea 187/ 2012 începând cu 1 februarie 2014, iar faptele respective sunt în prezent infracțiuni prevăzute de Codul penal, la art. 349 și 350, și se pedepsesc cu închisoare sau cu amendă.</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costul direct, care cuprinde toate cheltuielile legate de serviciul de ambulanță, de spitalizare, de medicamente, de protezări, de reinserție, de readaptare etc. Costul direct se introduce în cheltuielile întreprinderii și, în ultimă instanță, este suportat de consumatorii care cumpără produsele firmei. Tot în costul direct se introduc amenzile și cota-parte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 xml:space="preserve">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Costuri diverse (penalizări pentru întârzieri la livrare, alterarea imaginii firmei în rândul clienților, declasare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prestigiului unității</w:t>
      </w:r>
      <w:r>
        <w:rPr>
          <w:rFonts w:eastAsia="Arial" w:cs="Arial" w:ascii="Arial" w:hAnsi="Arial"/>
          <w:color w:val="auto"/>
          <w:spacing w:val="0"/>
          <w:w w:val="100"/>
          <w:sz w:val="20"/>
          <w:szCs w:val="20"/>
          <w:lang w:val="ro-RO"/>
        </w:rPr>
        <w:t xml:space="preserve">: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unității.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(4) </w:t>
      </w:r>
      <w:r>
        <w:rPr>
          <w:rFonts w:ascii="Arial" w:hAnsi="Arial" w:cs="Arial" w:eastAsia="Arial"/>
          <w:color w:val="auto"/>
          <w:sz w:val="20"/>
          <w:szCs w:val="20"/>
          <w:lang w:val="ro-RO"/>
        </w:rPr>
        <w:t xml:space="preserve">Numărul lucrătorilor desemnați să acorde primul ajutor se stabilește de angajator, cu consultarea serviciului de prevenire și protecție, potrivit mărimii și riscurilor specifice unității, și se consemnează în instrucțiunile proprii sau în regulamentul intern.</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(5) </w:t>
      </w:r>
      <w:r>
        <w:rPr>
          <w:rFonts w:ascii="Arial" w:hAnsi="Arial" w:cs="Arial" w:eastAsia="Arial"/>
          <w:color w:val="auto"/>
          <w:sz w:val="20"/>
          <w:szCs w:val="20"/>
          <w:lang w:val="ro-RO"/>
        </w:rPr>
        <w:t xml:space="preserve">Numărul și repartizarea lucrătorilor desemnați se stabilesc astfel încât un lucrător instruit în acordarea primului ajutor să poată ajunge rapid la fiecare loc de muncă și în fiecare schimb, ținând seama de numărul lucrătorilor, de distanțe și de riscuri.</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(6) </w:t>
      </w:r>
      <w:r>
        <w:rPr>
          <w:rFonts w:ascii="Arial" w:hAnsi="Arial" w:cs="Arial" w:eastAsia="Arial"/>
          <w:color w:val="auto"/>
          <w:sz w:val="20"/>
          <w:szCs w:val="20"/>
          <w:lang w:val="ro-RO"/>
        </w:rPr>
        <w:t xml:space="preserve">Dacă unitatea are locuri de muncă în locații diferite, un lucrător desemnat poate răspunde de mai multe locuri de muncă numai dacă poate ajunge rapid la fiecare dintre ele; în caz contrar, angajatorul desemnează lucrători pentru fiecare locație.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(8) </w:t>
      </w:r>
      <w:r>
        <w:rPr>
          <w:rFonts w:ascii="Arial" w:hAnsi="Arial" w:cs="Arial" w:eastAsia="Arial"/>
          <w:color w:val="auto"/>
          <w:sz w:val="20"/>
          <w:szCs w:val="20"/>
          <w:lang w:val="ro-RO"/>
        </w:rPr>
        <w:t xml:space="preserve">Mijloacele de comunicare cu serviciile de urgență trebuie să fie în permanență în stare de funcționare; orice defecțiune se remediază de urgență, iar până la remediere se folosesc soluții alternative (de exemplu, telefonul mobil).</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(9) </w:t>
      </w:r>
      <w:r>
        <w:rPr>
          <w:rFonts w:ascii="Arial" w:hAnsi="Arial" w:cs="Arial" w:eastAsia="Arial"/>
          <w:color w:val="auto"/>
          <w:sz w:val="20"/>
          <w:szCs w:val="20"/>
          <w:lang w:val="ro-RO"/>
        </w:rPr>
        <w:t xml:space="preserve">Fiecare loc de muncă va fi dotat cu cel puțin o trusă de prim ajutor, în numărul și cu conținutul prevăzute de Ordinul 427/ 2002 (redate în prezentul material).</w:t>
      </w:r>
    </w:p>
    <w:p>
      <w:pPr>
        <w:pStyle w:val="Normal"/>
        <w:widowControl/>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(10) </w:t>
      </w:r>
      <w:r>
        <w:rPr>
          <w:rFonts w:ascii="Arial" w:hAnsi="Arial" w:cs="Arial" w:eastAsia="Arial"/>
          <w:color w:val="auto"/>
          <w:sz w:val="20"/>
          <w:szCs w:val="20"/>
          <w:lang w:val="ro-RO"/>
        </w:rPr>
        <w:t xml:space="preserve">Lucrătorii desemnați să acorde primul ajutor verifică periodic, la intervalul stabilit de angajator, și după fiecare folosire, dacă trusele sunt complete și dacă materialele nu au expirat.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ascii="Arial" w:hAnsi="Arial" w:cs="Arial" w:eastAsia="Arial"/>
          <w:b/>
          <w:color w:val="auto"/>
          <w:sz w:val="20"/>
          <w:szCs w:val="20"/>
          <w:lang w:val="ro-RO"/>
        </w:rPr>
        <w:t xml:space="preserve">(12) </w:t>
      </w:r>
      <w:r>
        <w:rPr>
          <w:rFonts w:ascii="Arial" w:hAnsi="Arial" w:cs="Arial" w:eastAsia="Arial"/>
          <w:color w:val="auto"/>
          <w:sz w:val="20"/>
          <w:szCs w:val="20"/>
          <w:lang w:val="ro-RO"/>
        </w:rPr>
        <w:t xml:space="preserve">În lipsa lucrătorilor desemnați să acorde primul ajutor, atribuțiile acestora sunt preluate de conducătorul locului de muncă sau de angajator.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Primul ajutor este ajutorul imediat acordat unei persoane care a suferit un accident sau s-a îmbolnăvit brusc, de către persoanele aflate la fața locului, până la sosirea echipajelor de urgență. Scopul lui este salvarea vieții, oprirea agravării stării victimei și protejarea ei până la preluarea de către personalul medical.</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Potrivit Legii 95/ 2006, republicată, primul ajutor de bază poate fi acordat de orice persoană instruită în acest sens sau, la indicațiile dispecerului de urgență, chiar de o persoană fără instruire. Persoanele fără pregătire medicală care acordă primul ajutor de bază cu bună-credință, cu intenția de a salva viața sau sănătatea unei persoane, nu răspund penal sau civil.</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În unitate, primul ajutor este asigurat de lucrătorii desemnați și instruiți în acest scop. Orice lucrător care este martor la un accident sau la o îmbolnăvire bruscă:</w:t>
      </w:r>
    </w:p>
    <w:p>
      <w:pPr>
        <w:pStyle w:val="Normal"/>
        <w:widowControl/>
        <w:numPr>
          <w:ilvl w:val="0"/>
          <w:numId w:val="7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sună la 112 sau se asigură că s-a sunat deja;</w:t>
      </w:r>
    </w:p>
    <w:p>
      <w:pPr>
        <w:pStyle w:val="Normal"/>
        <w:widowControl/>
        <w:numPr>
          <w:ilvl w:val="0"/>
          <w:numId w:val="7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anunță lucrătorul desemnat să acorde primul ajutor și conducătorul locului de muncă;</w:t>
      </w:r>
    </w:p>
    <w:p>
      <w:pPr>
        <w:pStyle w:val="Normal"/>
        <w:widowControl/>
        <w:numPr>
          <w:ilvl w:val="0"/>
          <w:numId w:val="79"/>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ajută victima în limita cunoștințelor sale și urmează indicațiile dispecerului 112.</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Modul detaliat de acordare a primului ajutor este prevăzut în instrucțiunile proprii de securitate și sănătate în muncă ale unității.</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Conduita salvatorului cuprinde, în această ordine: evaluarea situației (ce s-a întâmplat și dacă mai există un pericol), protejarea victimei și a lui însuși (înlăturarea pericolului fără a se expune), examinarea victimei, alertarea prin 112 și acordarea primului ajutor, urmată de supravegherea victimei până la sosirea echipajului de urgență. Salvatorul nu trebuie să devină a doua victimă: nu intră în zone cu fum, gaze, curent electric, apă sau pericol de prăbușire fără echipament și fără pregătire.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La apelul 112 se comunică locul exact al accidentului, ce s-a întâmplat, numărul victimelor și starea lor, pericolele care persistă și numărul de telefon de la care se sună. Salvatorul nu închide primul, răspunde la întrebările dispecerului și îi urmează indicațiile, cu difuzorul telefonului pornit, ca să aibă mâinile libere.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Examinarea victimei se face rapid:</w:t>
      </w:r>
    </w:p>
    <w:p>
      <w:pPr>
        <w:pStyle w:val="Normal"/>
        <w:widowControl/>
        <w:numPr>
          <w:ilvl w:val="0"/>
          <w:numId w:val="8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scutură ușor victima de umeri și o întreabă tare dacă îl aude; dacă nu răspunde, cere ajutor și sună imediat la 112;</w:t>
      </w:r>
    </w:p>
    <w:p>
      <w:pPr>
        <w:pStyle w:val="Normal"/>
        <w:widowControl/>
        <w:numPr>
          <w:ilvl w:val="0"/>
          <w:numId w:val="8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oprește imediat orice sângerare abundentă;</w:t>
      </w:r>
    </w:p>
    <w:p>
      <w:pPr>
        <w:pStyle w:val="Normal"/>
        <w:widowControl/>
        <w:numPr>
          <w:ilvl w:val="0"/>
          <w:numId w:val="8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deschide căile respiratorii prin înclinarea ușoară a capului pe spate și ridicarea bărbiei;</w:t>
      </w:r>
    </w:p>
    <w:p>
      <w:pPr>
        <w:pStyle w:val="Normal"/>
        <w:widowControl/>
        <w:numPr>
          <w:ilvl w:val="0"/>
          <w:numId w:val="80"/>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verifică, timp de cel mult 10 secunde, dacă victima respiră normal; respirația rară, zgomotoasă sau sub formă de gâfâieli nu este o respirație normală.</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Victima care nu răspunde, dar respiră normal, este așezată în poziția laterală de siguranță (culcată pe o parte, cu piciorul de deasupra îndoit și cu capul ușor înclinat pe spate, ca să respire liber), dacă nu se suspectează o leziune a coloanei, și i se supraveghează continuu respirația. Victima care nu răspunde și nu respiră normal este în stop cardiac și are nevoie imediat de resuscitare.</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Resuscitarea cardio-pulmonară la adult se face astfel:</w:t>
      </w:r>
    </w:p>
    <w:p>
      <w:pPr>
        <w:pStyle w:val="Normal"/>
        <w:widowControl/>
        <w:numPr>
          <w:ilvl w:val="0"/>
          <w:numId w:val="8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victima este culcată pe spate, pe o suprafață tare;</w:t>
      </w:r>
    </w:p>
    <w:p>
      <w:pPr>
        <w:pStyle w:val="Normal"/>
        <w:widowControl/>
        <w:numPr>
          <w:ilvl w:val="0"/>
          <w:numId w:val="8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așază podul unei palme pe jumătatea de jos a sternului („în centrul pieptului") și cealaltă palmă peste prima și, cu brațele întinse, apasă pieptul cu 5–6 cm, cu un ritm de 100–120 de compresii pe minut, lăsând pieptul să revină complet după fiecare compresie;</w:t>
      </w:r>
    </w:p>
    <w:p>
      <w:pPr>
        <w:pStyle w:val="Normal"/>
        <w:widowControl/>
        <w:numPr>
          <w:ilvl w:val="0"/>
          <w:numId w:val="8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salvatorul instruit în acest sens alternează 30 de compresii cu 2 ventilații (30:2); salvatorul care nu este instruit sau nu dorește să facă ventilații execută compresii continue, fără întrerupere;</w:t>
      </w:r>
    </w:p>
    <w:p>
      <w:pPr>
        <w:pStyle w:val="Normal"/>
        <w:widowControl/>
        <w:numPr>
          <w:ilvl w:val="0"/>
          <w:numId w:val="81"/>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resuscitarea continuă până când victima își revine, până când echipajul de urgență preia victima sau până când salvatorul este epuizat.</w:t>
      </w:r>
    </w:p>
    <w:p>
      <w:pPr>
        <w:pStyle w:val="Normal"/>
        <w:widowControl/>
        <w:spacing w:before="0" w:after="120"/>
        <w:ind w:hanging="0"/>
        <w:jc w:val="left"/>
        <w:rPr>
          <w:rFonts w:ascii="Arial" w:hAnsi="Arial" w:cs="Arial"/>
          <w:sz w:val="18"/>
          <w:szCs w:val="18"/>
          <w:lang w:val="ro-RO"/>
        </w:rPr>
      </w:pPr>
      <w:r>
        <w:rPr>
          <w:rFonts w:ascii="Arial" w:hAnsi="Arial" w:cs="Arial" w:eastAsia="Arial"/>
          <w:color w:val="auto"/>
          <w:sz w:val="20"/>
          <w:szCs w:val="20"/>
          <w:lang w:val="ro-RO"/>
        </w:rPr>
        <w:t xml:space="preserve">Dispecerul 112 poate ghida resuscitarea prin telefon.</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Defibrilatorul automat extern (DEA) poate fi folosit de orice persoană, chiar fără instruire. Imediat ce este adus, se pornește, electrozii se lipesc pe pieptul gol al victimei, ca în desenul de pe ei, și se urmează instrucțiunile vocale ale aparatului. Nimeni nu atinge victima cât timp aparatul analizează ritmul inimii sau administrează șocul; după aceea, compresiile se reiau imediat. Fiecare lucrător trebuie să știe unde se află cel mai apropiat defibrilator.</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Persoanei care s-a înecat cu mâncare sau cu un obiect și nu mai poate tuși i se aplică până la 5 lovituri puternice între omoplați și apoi, dacă este nevoie, până la 5 compresii abdominale, alternativ, până la eliberarea căilor respiratorii. Dacă persoana nu mai răspunde, se sună la 112 și se începe resuscitarea.</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Sângerarea abundentă se oprește prin apăsare directă și fermă pe rană, cu o compresă sterilă sau cu un material curat, menținută fără întrerupere; după oprirea sângerării se aplică un pansament compresiv. Garoul se folosește numai la braț sau la picior, pentru o sângerare care pune viața în pericol și nu se oprește prin apăsare directă, și numai de persoane instruite să îl aplice; odată aplicat, garoul nu se mai slăbește.</w:t>
      </w:r>
    </w:p>
    <w:p>
      <w:pPr>
        <w:pStyle w:val="Heading1"/>
        <w:keepNext w:val="false"/>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Arsurile produse de căldură se răcesc imediat cu apă curentă rece sau răcoroasă, cel puțin 20 de minute, și se acoperă apoi lejer cu o compresă sterilă sau cu folie alimentară curată. Pielea atinsă de o substanță chimică se spală imediat cu multă apă, iar ochii stropiți cu o substanță chimică se spală continuu, 10–20 de minute, cu multă apă curată. Pe arsuri nu se pun gheață, creme sau alte substanțe, iar bășicile nu se sparg.</w:t>
      </w:r>
    </w:p>
    <w:p>
      <w:pPr>
        <w:pStyle w:val="Heading1"/>
        <w:keepNext/>
        <w:widowControl/>
        <w:numPr>
          <w:ilvl w:val="0"/>
          <w:numId w:val="1"/>
        </w:numPr>
        <w:spacing w:before="120" w:after="60"/>
        <w:jc w:val="left"/>
        <w:rPr>
          <w:b w:val="false"/>
          <w:sz w:val="18"/>
          <w:szCs w:val="18"/>
          <w:lang w:val="ro-RO"/>
        </w:rPr>
      </w:pPr>
      <w:r>
        <w:rPr>
          <w:rFonts w:ascii="Arial" w:hAnsi="Arial" w:cs="Arial" w:eastAsia="Arial"/>
          <w:color w:val="auto"/>
          <w:sz w:val="20"/>
          <w:szCs w:val="20"/>
          <w:lang w:val="ro-RO"/>
        </w:rPr>
        <w:t xml:space="preserve">Salvatorul nu face următoarele: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se expune unui pericol fără echipament și fără pregătire;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mută victima decât dacă există un pericol imediat sau dacă mutarea este necesară pentru resuscitare;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dă victimei medicamente, alcool, cafea, ceai sau alte băuturi și nu folosește remedii populare;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dă nimic de mâncat sau de băut unei victime care nu este complet conștientă;</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scoate obiectele înfipte în corp, nu îndreaptă fracturile și nu pune la loc luxațiile;</w:t>
      </w:r>
    </w:p>
    <w:p>
      <w:pPr>
        <w:pStyle w:val="Normal"/>
        <w:widowControl/>
        <w:numPr>
          <w:ilvl w:val="0"/>
          <w:numId w:val="82"/>
        </w:numPr>
        <w:spacing w:before="0" w:after="40"/>
        <w:ind w:left="720" w:hanging="360"/>
        <w:jc w:val="left"/>
        <w:rPr>
          <w:rFonts w:ascii="Arial" w:hAnsi="Arial" w:cs="Arial"/>
          <w:sz w:val="18"/>
          <w:szCs w:val="18"/>
          <w:lang w:val="ro-RO"/>
        </w:rPr>
      </w:pPr>
      <w:r>
        <w:rPr>
          <w:rFonts w:ascii="Arial" w:hAnsi="Arial" w:cs="Arial" w:eastAsia="Arial"/>
          <w:color w:val="auto"/>
          <w:sz w:val="20"/>
          <w:szCs w:val="20"/>
          <w:lang w:val="ro-RO"/>
        </w:rPr>
        <w:t xml:space="preserve">nu lasă victima nesupravegheată până la sosirea echipajului de urgență.</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w:t>
      </w:r>
      <w:r>
        <w:rPr>
          <w:rStyle w:val="pt1"/>
          <w:rFonts w:eastAsia="Arial" w:cs="Arial" w:ascii="Arial" w:hAnsi="Arial"/>
          <w:b/>
          <w:bCs/>
          <w:i/>
          <w:color w:val="auto"/>
          <w:spacing w:val="0"/>
          <w:w w:val="100"/>
          <w:sz w:val="20"/>
          <w:szCs w:val="20"/>
          <w:lang w:val="ro-RO"/>
        </w:rPr>
        <w:t xml:space="preserve">(1)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b/>
          <w:bCs/>
          <w:i/>
          <w:color w:val="auto"/>
          <w:spacing w:val="0"/>
          <w:w w:val="100"/>
          <w:sz w:val="20"/>
          <w:szCs w:val="20"/>
          <w:lang w:val="ro-RO"/>
        </w:rPr>
        <w:t xml:space="preserve">(2) </w:t>
      </w:r>
      <w:r>
        <w:rPr>
          <w:rFonts w:eastAsia="Arial" w:cs="Arial" w:ascii="Arial" w:hAnsi="Arial"/>
          <w:i/>
          <w:color w:val="auto"/>
          <w:spacing w:val="0"/>
          <w:w w:val="100"/>
          <w:sz w:val="20"/>
          <w:szCs w:val="20"/>
          <w:lang w:val="ro-RO"/>
        </w:rPr>
        <w:t>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a aerului,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solvenți, diluanți,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ascii="Arial" w:hAnsi="Arial" w:cs="Arial" w:eastAsia="Arial"/>
          <w:color w:val="auto"/>
          <w:sz w:val="20"/>
          <w:szCs w:val="20"/>
          <w:lang w:val="ro-RO"/>
        </w:rPr>
        <w:t xml:space="preserve">Modul de utilizare a stingătoarelor: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 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din O.U.G. 195/ 2002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 la O.U.G. 195/ 2002.</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 xml:space="preserve">semnalele speciale de avertizare, luminoase sau sonore ale autovehiculelor, prevăzute la art. 32 alin. (2) lit. a) și b) din O.U.G. 195/ 2002;</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săgeată,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5">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76">
    <w:multiLevelType w:val="multilevel"/>
    <w:lvl w:ilvl="0">
      <w:start w:val="1"/>
      <w:numFmt w:val="lowerLetter"/>
      <w:lvlText w:val="%1)"/>
      <w:lvlJc w:val="left"/>
      <w:pPr>
        <w:ind w:left="720" w:hanging="360"/>
      </w:pPr>
      <w:rPr>
        <w:rFonts w:ascii="Arial" w:hAnsi="Arial" w:cs="Arial"/>
      </w:rPr>
    </w:lvl>
    <w:lvl w:ilvl="1">
      <w:start w:val="1"/>
      <w:numFmt w:val="decimal"/>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abstractNum w:abstractNumId="77">
    <w:multiLevelType w:val="multilevel"/>
    <w:lvl w:ilvl="0">
      <w:start w:val="1"/>
      <w:numFmt w:val="decimal"/>
      <w:lvlText w:val="%1."/>
      <w:lvlJc w:val="left"/>
      <w:pPr>
        <w:ind w:left="720" w:hanging="360"/>
      </w:pPr>
      <w:rPr>
        <w:rFonts w:ascii="Arial" w:hAnsi="Arial" w:cs="Arial"/>
      </w:rPr>
    </w:lvl>
    <w:lvl w:ilvl="1">
      <w:start w:val="1"/>
      <w:numFmt w:val="lowerLetter"/>
      <w:lvlText w:val="%2)"/>
      <w:lvlJc w:val="left"/>
      <w:pPr>
        <w:ind w:left="1080" w:hanging="360"/>
      </w:pPr>
      <w:rPr>
        <w:rFonts w:ascii="Arial" w:hAnsi="Arial" w:cs="Arial"/>
      </w:rPr>
    </w:lvl>
    <w:lvl w:ilvl="2">
      <w:start w:val="1"/>
      <w:numFmt w:val="lowerRoman"/>
      <w:lvlText w:val="%3."/>
      <w:lvlJc w:val="left"/>
      <w:pPr>
        <w:ind w:left="1440" w:hanging="360"/>
      </w:pPr>
      <w:rPr>
        <w:rFonts w:ascii="Arial" w:hAnsi="Arial" w:cs="Aria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lvlOverride w:ilvl="0">
      <w:startOverride w:val="1"/>
    </w:lvlOverride>
    <w:lvlOverride w:ilvl="1">
      <w:startOverride w:val="1"/>
    </w:lvlOverride>
    <w:lvlOverride w:ilvl="2">
      <w:startOverride w:val="1"/>
    </w:lvlOverride>
  </w:num>
  <w:num w:numId="76">
    <w:abstractNumId w:val="75"/>
    <w:lvlOverride w:ilvl="0">
      <w:startOverride w:val="1"/>
    </w:lvlOverride>
    <w:lvlOverride w:ilvl="1">
      <w:startOverride w:val="1"/>
    </w:lvlOverride>
    <w:lvlOverride w:ilvl="2">
      <w:startOverride w:val="1"/>
    </w:lvlOverride>
  </w:num>
  <w:num w:numId="77">
    <w:abstractNumId w:val="75"/>
    <w:lvlOverride w:ilvl="0">
      <w:startOverride w:val="1"/>
    </w:lvlOverride>
    <w:lvlOverride w:ilvl="1">
      <w:startOverride w:val="1"/>
    </w:lvlOverride>
    <w:lvlOverride w:ilvl="2">
      <w:startOverride w:val="1"/>
    </w:lvlOverride>
  </w:num>
  <w:num w:numId="78">
    <w:abstractNumId w:val="76"/>
    <w:lvlOverride w:ilvl="0">
      <w:startOverride w:val="1"/>
    </w:lvlOverride>
    <w:lvlOverride w:ilvl="1">
      <w:startOverride w:val="1"/>
    </w:lvlOverride>
    <w:lvlOverride w:ilvl="2">
      <w:startOverride w:val="1"/>
    </w:lvlOverride>
  </w:num>
  <w:num w:numId="79">
    <w:abstractNumId w:val="77"/>
    <w:lvlOverride w:ilvl="0">
      <w:startOverride w:val="1"/>
    </w:lvlOverride>
    <w:lvlOverride w:ilvl="1">
      <w:startOverride w:val="1"/>
    </w:lvlOverride>
    <w:lvlOverride w:ilvl="2">
      <w:startOverride w:val="1"/>
    </w:lvlOverride>
  </w:num>
  <w:num w:numId="80">
    <w:abstractNumId w:val="77"/>
    <w:lvlOverride w:ilvl="0">
      <w:startOverride w:val="1"/>
    </w:lvlOverride>
    <w:lvlOverride w:ilvl="1">
      <w:startOverride w:val="1"/>
    </w:lvlOverride>
    <w:lvlOverride w:ilvl="2">
      <w:startOverride w:val="1"/>
    </w:lvlOverride>
  </w:num>
  <w:num w:numId="81">
    <w:abstractNumId w:val="77"/>
    <w:lvlOverride w:ilvl="0">
      <w:startOverride w:val="1"/>
    </w:lvlOverride>
    <w:lvlOverride w:ilvl="1">
      <w:startOverride w:val="1"/>
    </w:lvlOverride>
    <w:lvlOverride w:ilvl="2">
      <w:startOverride w:val="1"/>
    </w:lvlOverride>
  </w:num>
  <w:num w:numId="82">
    <w:abstractNumId w:val="77"/>
    <w:lvlOverride w:ilvl="0">
      <w:startOverride w:val="1"/>
    </w:lvlOverride>
    <w:lvlOverride w:ilvl="1">
      <w:startOverride w:val="1"/>
    </w:lvlOverride>
    <w:lvlOverride w:ilvl="2">
      <w:startOverride w:val="1"/>
    </w:lvlOverride>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