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Prezentul document a fost reîntocmit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keepNext/>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111 – 138, 175 – 182, 186 – 190;</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Legea 346/ 2002, Art. 1 – 7, 14, 18, 22 – 24, 26, 29 – 49, 106, 110, 111;</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450/ 825/ 2006</w:t>
      </w:r>
      <w:r>
        <w:rPr>
          <w:rFonts w:eastAsia="Arial" w:cs="Arial" w:ascii="Arial" w:hAnsi="Arial"/>
          <w:bCs/>
          <w:i/>
          <w:color w:val="auto"/>
          <w:spacing w:val="0"/>
          <w:w w:val="100"/>
          <w:sz w:val="20"/>
          <w:szCs w:val="20"/>
          <w:lang w:val="ro-RO"/>
        </w:rPr>
        <w:t>, Art. 28, 29;</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și completarea Normelor metodologice de aplicare a prevederilor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nr. 319/ 2006, aprobate prin H.G. 1425/ 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 2022 – pentru modificarea și completarea Normelor metodologice de aplicare a prevederilor Legii securității și sănătății în muncă nr. 319/ 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 2006 – Art. 3)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Prezenta lege se aplică în toate sectoarele de activitate, atât publice, cât și private.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Prevederile prezentei legi se aplică angajatorilor, lucrătorilor și reprezentanților lucrătorilor.</w:t>
      </w:r>
    </w:p>
    <w:p>
      <w:pPr>
        <w:pStyle w:val="Normal"/>
        <w:keepNext/>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formă scrisă și pentru care se poate face dovada prevederilor contractuale și a prestațiilor efectuate prin orice alt mijloc de probă;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persoană dată dispărută sau accidentul de traseu ori de circulație, în condițiile în care au fost implicate persoane angajate, incidentul periculos, precum și cazul susceptibil de boală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boală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unealtă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și/sau unității, inclusiv orice alt loc din aria întreprinderii și/sau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practică -</w:t>
      </w:r>
      <w:r>
        <w:rPr>
          <w:rFonts w:eastAsia="Arial" w:cs="Arial" w:ascii="Arial" w:hAnsi="Arial"/>
          <w:color w:val="auto"/>
          <w:spacing w:val="0"/>
          <w:w w:val="100"/>
          <w:sz w:val="20"/>
          <w:szCs w:val="20"/>
          <w:lang w:val="ro-RO"/>
        </w:rPr>
        <w:t xml:space="preserve"> instruirea cu caracter aplicativ, specifică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afara întreprinderii/unității,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consecință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boală legată de profesiune -</w:t>
      </w:r>
      <w:r>
        <w:rPr>
          <w:rFonts w:eastAsia="Arial" w:cs="Arial" w:ascii="Arial" w:hAnsi="Arial"/>
          <w:color w:val="auto"/>
          <w:spacing w:val="0"/>
          <w:w w:val="100"/>
          <w:sz w:val="20"/>
          <w:szCs w:val="20"/>
          <w:lang w:val="ro-RO"/>
        </w:rPr>
        <w:t xml:space="preserve"> boală cu determinare multifactorială, la care unii factori determinanți sunt de natură profesională.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keepNext/>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dar nu mai târziu de 24 de ore de la producerea evenimentului,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raportare a bolilor profesionale declarate, contestate și infirmate -</w:t>
      </w:r>
      <w:r>
        <w:rPr>
          <w:rStyle w:val="tpt1"/>
          <w:rFonts w:eastAsia="Arial" w:cs="Arial" w:ascii="Arial" w:hAnsi="Arial"/>
          <w:color w:val="auto"/>
          <w:spacing w:val="0"/>
          <w:w w:val="100"/>
          <w:sz w:val="20"/>
          <w:szCs w:val="20"/>
          <w:lang w:val="ro-RO"/>
        </w:rPr>
        <w:t xml:space="preserve"> procedura prin care direcțiile de sănătate publică județene și a municipiului București transmit informații referitoare la bolile profesionale declarate, a celor contestate și a celor infirmate, precum și motivarea infirmării lor, la Centrul național de monitorizare a riscurilor din mediul comunitar - Secția sănătate ocupațională și informare toxicologică, Compartimentul sănătate ocupațională din cadrul Institutului Național de Sănătate Publică, denumit în continuare Centrul național de monitorizare a riscurilor din mediul comunitar, care se includ în Registrul operativ național informatizat al bolilor profesionale, prevăzut la art. 166 din H.G. 1425/ 2006;</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w:t>
      </w:r>
      <w:r>
        <w:rPr>
          <w:rStyle w:val="tpt1"/>
          <w:rFonts w:eastAsia="Arial" w:cs="Arial" w:ascii="Arial" w:hAnsi="Arial"/>
          <w:color w:val="auto"/>
          <w:spacing w:val="0"/>
          <w:w w:val="100"/>
          <w:sz w:val="20"/>
          <w:szCs w:val="20"/>
          <w:lang w:val="ro-RO"/>
        </w:rPr>
        <w:t xml:space="preserve"> semnătura electronică astfel cum este definită la art. 3 pct. 10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avansată -</w:t>
      </w:r>
      <w:r>
        <w:rPr>
          <w:rStyle w:val="tpt1"/>
          <w:rFonts w:eastAsia="Arial" w:cs="Arial" w:ascii="Arial" w:hAnsi="Arial"/>
          <w:color w:val="auto"/>
          <w:spacing w:val="0"/>
          <w:w w:val="100"/>
          <w:sz w:val="20"/>
          <w:szCs w:val="20"/>
          <w:lang w:val="ro-RO"/>
        </w:rPr>
        <w:t xml:space="preserve"> semnătura electronică avansată astfel cum este definită la art. 3 pct. 11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calificată -</w:t>
      </w:r>
      <w:r>
        <w:rPr>
          <w:rStyle w:val="tpt1"/>
          <w:rFonts w:eastAsia="Arial" w:cs="Arial" w:ascii="Arial" w:hAnsi="Arial"/>
          <w:color w:val="auto"/>
          <w:spacing w:val="0"/>
          <w:w w:val="100"/>
          <w:sz w:val="20"/>
          <w:szCs w:val="20"/>
          <w:lang w:val="ro-RO"/>
        </w:rPr>
        <w:t xml:space="preserve"> semnătura electronică calificată astfel cum este definită la art. 3 pct. 12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bază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încetarea aptitudinii unei mașini, instalații, utilaje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executant-sarcină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reglementări în domeniul securității muncii, ale căror prevederi sunt valabile numai pentru activitățile desfășurate în cadrul unei unități; elaborarea lor de către unități (prin efort propriu sau colaborare cu instituțiile specializate) este obligatorie atunci când normele metodologice sau hotărârile de guvern nu acoperă totalitatea activităților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integrantă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inerentă a unei substanțe, agent, surse de energie sau situație cu potențial de a cauza evenimente nedorite (accidente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posedă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expusă - </w:t>
      </w:r>
      <w:r>
        <w:rPr>
          <w:rFonts w:eastAsia="Arial" w:cs="Arial" w:ascii="Arial" w:hAnsi="Arial"/>
          <w:color w:val="auto"/>
          <w:spacing w:val="0"/>
          <w:w w:val="100"/>
          <w:sz w:val="20"/>
          <w:szCs w:val="20"/>
          <w:lang w:val="ro-RO"/>
        </w:rPr>
        <w:t>o persoană care se află în întregime sau parțial într-o zonă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intrinsecă - </w:t>
      </w:r>
      <w:r>
        <w:rPr>
          <w:rFonts w:eastAsia="Arial" w:cs="Arial" w:ascii="Arial" w:hAnsi="Arial"/>
          <w:color w:val="auto"/>
          <w:spacing w:val="0"/>
          <w:w w:val="100"/>
          <w:sz w:val="20"/>
          <w:szCs w:val="20"/>
          <w:lang w:val="ro-RO"/>
        </w:rPr>
        <w:t>prevenire realizată în stadiul de concepție/proiectare;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mijloacelor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 (fizic) între pericol și persoana expusă;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expusă unuia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zonă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zonă situată în interiorul sau în jurul echipamentului de muncă în care o persoană este expusă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6)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obligația de a asigura securitatea și sănătatea lucrătorilor în toate aspectele legate de muncă.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În cazul în care un angajator apelează la servicii externe, acesta nu este exonerat de responsabilitățile sale în acest domeniu.</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zonă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în condițiile art. 9 alin. (4) din Legea 319/ 2006,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unuia sau mai multor servicii interne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apelarea la servicii externe de prevenire și protecție</w:t>
      </w:r>
      <w:r>
        <w:rPr>
          <w:rStyle w:val="tli1"/>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și/sau unității și/sau de riscurile la care sunt expuși lucrătorii, precum și de distribuția acestora în cadrul întreprinderii și/sau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Servicii de prevenire și protecție – Art. 9)</w:t>
      </w:r>
      <w:r>
        <w:rPr>
          <w:rStyle w:val="tal1"/>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să fie abilitat de Comisia de abilitare a serviciilor externe de prevenire și protecție și de avizare a documentațiilor cu caracter tehnic de informare și instruire în domeniul securității și sănătății în muncă, în conformitate cu procedura stabilită la art. 35-45.</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în cazul întreprinderilor și/sau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atestă printr-un document de absolvire a programului de pregătire.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însoțesc echipa/persoana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titlu se completează cu dispozițiile legii speciale, ale contractelor colective de muncă aplicabile, precum și cu normele și normativele de protecție a muncii.</w:t>
      </w:r>
    </w:p>
    <w:p>
      <w:pPr>
        <w:pStyle w:val="Normal"/>
        <w:keepNext/>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177, alin. (1) din Legea 53/ 2003 se va ține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consultă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180,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medicină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medicină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medicină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medicină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medicină a muncii este independent în exercitarea profesiei sale.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medicină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medicină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medicină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190)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medicină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supraveghere specială și promovarea sănătății la locul de muncă.</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(1¹)</w:t>
      </w:r>
      <w:r>
        <w:rPr>
          <w:rStyle w:val="tal1"/>
          <w:rFonts w:eastAsia="Arial" w:cs="Arial" w:ascii="Arial" w:hAnsi="Arial"/>
          <w:color w:val="auto"/>
          <w:spacing w:val="0"/>
          <w:w w:val="100"/>
          <w:sz w:val="20"/>
          <w:szCs w:val="20"/>
          <w:lang w:val="ro-RO"/>
        </w:rPr>
        <w:t xml:space="preserve"> Prin supraveghere specială se înțelege examenul medical profilactic efectuat de către medicul de medicina muncii, în vederea stabilirii aptitudinii în muncă pentru lucrătorii care se încadrează în următoarele categorii: persoane cu vârste cuprinse între 15 și 18 ani împliniți, persoane cu vârsta de peste 60 de ani împliniți, femei gravide, persoane cu handicap, persoane dependente de droguri, de alcool, stângace, persoane cu vederea monoculară, persoane în evidență cu boli cronice.</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(5)</w:t>
      </w:r>
      <w:r>
        <w:rPr>
          <w:rStyle w:val="tal1"/>
          <w:rFonts w:eastAsia="Arial" w:cs="Arial" w:ascii="Arial" w:hAnsi="Arial"/>
          <w:color w:val="auto"/>
          <w:spacing w:val="0"/>
          <w:w w:val="100"/>
          <w:sz w:val="20"/>
          <w:szCs w:val="20"/>
          <w:lang w:val="ro-RO"/>
        </w:rPr>
        <w:t xml:space="preserve"> Examinările medicale profilactice se efectuează în baza fișei de identificare a factorilor de risc profesional, conform modelului prevăzut în anexa nr. 3 din H.G. 355/ 2007, completată în mod obligatoriu la toate rubricile și semnată de către angajator.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ptitudinea în muncă reprezintă capacitatea lucrătorului din punct de vedere medical de a desfășura activitatea la locul de muncă în profesia/funcția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stabilirea aptitudinii în muncă, medicul specialist de medicina muncii poate solicita și alte investigații și examene medicale de specialitate.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(prevăzută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t>
      </w:r>
      <w:bookmarkEnd w:id="90"/>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permanentă în muncă, în sensul prezentei hotărâri, reprezintă incapacitatea medicală permanentă a lucrătorului de a desfășura activitatea la locul de muncă în profesia/ funcția pentru care se solicită examenul medical privind aptitudinea în muncă.</w:t>
      </w:r>
    </w:p>
    <w:p>
      <w:pPr>
        <w:pStyle w:val="Normal"/>
        <w:keepNext/>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keepNext/>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keepNext/>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anamneză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bookmarkStart w:id="112" w:name="do|caIII|ar16|al7"/>
      <w:bookmarkEnd w:id="112"/>
      <w:r>
        <w:rPr>
          <w:rFonts w:eastAsia="Arial" w:cs="Arial" w:ascii="Arial" w:hAnsi="Arial"/>
          <w:color w:val="auto"/>
          <w:spacing w:val="0"/>
          <w:w w:val="100"/>
          <w:sz w:val="20"/>
          <w:szCs w:val="20"/>
          <w:u w:val="none"/>
          <w:lang w:val="ro-RO"/>
        </w:rPr>
        <w:t xml:space="preserve">(7) </w:t>
      </w:r>
      <w:r>
        <w:rPr>
          <w:rStyle w:val="tal1"/>
          <w:rFonts w:eastAsia="Arial" w:cs="Arial" w:ascii="Arial" w:hAnsi="Arial"/>
          <w:color w:val="auto"/>
          <w:spacing w:val="0"/>
          <w:w w:val="100"/>
          <w:sz w:val="20"/>
          <w:szCs w:val="20"/>
          <w:lang w:val="ro-RO"/>
        </w:rPr>
        <w:t>Numai medicul de medicina muncii are dreptul de a efectua examenul medical prevăzut la art. 16, alin. (3)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keepNext/>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p>
    <w:p>
      <w:pPr>
        <w:pStyle w:val="Normal"/>
        <w:widowControl/>
        <w:spacing w:before="0" w:after="120"/>
        <w:ind w:hanging="0"/>
        <w:jc w:val="left"/>
        <w:rPr>
          <w:rFonts w:ascii="Arial" w:hAnsi="Arial" w:cs="Arial"/>
          <w:sz w:val="18"/>
          <w:szCs w:val="18"/>
          <w:lang w:val="es-ES"/>
        </w:rPr>
      </w:pP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 xml:space="preserve">Frecvența examenului medical periodic este stabilită prin fișele întocmite conform modelului prevăzut în anexa nr. 1 din H.G. 355/ 2007 și poate fi modificată numai la propunerea medicului specialist de medicina muncii, cu informarea angajatorului.</w:t>
      </w:r>
    </w:p>
    <w:p>
      <w:pPr>
        <w:pStyle w:val="Normal"/>
        <w:keepNext/>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keepNext/>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În vederea conștientizării nevoilor și obiectivelor privind sănătatea și securitatea în muncă în rândul lucrătorilor, medicii specialiști cu pregătire în domeniu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Contestația prevăzută la art. 30 din H.G. 355/ 2007 se adresează autorității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Autoritatea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 2007 – Art. 37)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u w:val="none"/>
          <w:lang w:val="ro-RO"/>
        </w:rPr>
        <w:t xml:space="preserve"> Dosarul medical și fișa de identificare a factorilor de risc profesional se păstrează la structura de medicina muncii pe durata derulării contractului cu angajatorul.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Dosarul medical și fișa de identificare a factorilor de risc profesional pot fi, la solicitare, predate noii structuri de medicina muncii agreate de angajator.</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Dosarele medicale trebuie păstrate la structurile de medicina muncii cel puțin 40 de ani de la încetarea expunerii, în cazul expunerii profesionale la agenți cancerigeni sau mutageni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identificare a factorilor de risc profesional, pentru a fi predate </w:t>
      </w:r>
      <w:r>
        <w:rPr>
          <w:rStyle w:val="tpa1"/>
          <w:rFonts w:eastAsia="Arial" w:cs="Arial" w:ascii="Arial" w:hAnsi="Arial"/>
          <w:color w:val="auto"/>
          <w:spacing w:val="0"/>
          <w:w w:val="100"/>
          <w:sz w:val="20"/>
          <w:szCs w:val="20"/>
          <w:lang w:val="ro-RO"/>
        </w:rPr>
        <w:t>structurii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46/2003</w:t>
      </w:r>
      <w:r>
        <w:rPr>
          <w:rStyle w:val="tpa1"/>
          <w:rFonts w:eastAsia="Arial" w:cs="Arial" w:ascii="Arial" w:hAnsi="Arial"/>
          <w:color w:val="auto"/>
          <w:spacing w:val="0"/>
          <w:w w:val="100"/>
          <w:sz w:val="20"/>
          <w:szCs w:val="20"/>
          <w:lang w:val="ro-RO"/>
        </w:rPr>
        <w:t>, referitoare la dreptul la confidențialitatea informațiilor și viața privată a pacientului.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și/sau transformări după data intrării în vigoare a prezentei hotărâri, angajatorul trebuie să ia toate măsurile necesare pentru a se asigura că aceste modificări, extinderi și/sau transformări sunt în concordanță cu cerințele minime corespunzătoare prevăzute în Anexa nr. 1 din H.G.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angajatului cel puțin pentru perioade scurte de timp (de exemplu, scaune, bănci).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Echipamentele tehnice,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angajatului și de mărimea efortului membrelor superioare, conform tabelului.</w:t>
      </w:r>
    </w:p>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corectă a materiilor prime și produselor la echipamentele tehnice la care angajatul intervine direct.</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keepNext/>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keepNext/>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keepNext/>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keepNext/>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suficientă;</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keepNext/>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keepNext/>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keepNext/>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de sănătate sau de decență, nu li se poate cere să se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keepNext/>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keepNext/>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keepNext/>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keepNext/>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persoană/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persoană/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0</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vertAlign w:val="subscript"/>
                <w:lang w:val="ro-RO"/>
              </w:rPr>
              <w:t>00</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prevăzute de reglementările referitoare la introducerea pe piață a substanțelor și preparatelor periculoase, a produselor și/sau a echipamentelor, cu excepția cazului în care aceste reglementări fac referire în mod expres la acest lucru.</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și/sau poziția brațelor și/sau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Atunci când riscurile nu pot fi evitate sau reduse suficient prin mijloace tehnice de protecție colectivă ori prin măsuri, metode sau procedee de organizare a muncii, angajatorul trebuie să prevadă semnalizarea de securitate și/ sau de sănătate la locul de muncă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nr.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1</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Semnalizarea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2</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orma și culorile panourilor sunt definite la alin. (3),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utilizate pot fi ușor diferite sau mai detaliate decât cele prezentate la alin. (3),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keepNext/>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STINGEREA CU APĂ</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INTERZIS VEHICULELOR DE MANIPULAT MARFĂ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APĂ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 NU SE INTRODUCE MÂNA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 xml:space="preserve">INTERZISĂ UTILIZAREA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URCAREA PE TRANSPALETĂ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PULVERIZAREA CU APĂ INTERZISĂ</w:t>
            </w:r>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ATENȚIE! PERICOL ARC ELECTRO</w:t>
              <w:softHyphen/>
              <w:t>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APĂ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MĂNUȘI OBLIGATORIU</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BRANCARDĂ</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DUȘ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SCARA</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SCARA</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4</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OBSERVAȚII: </w:t>
      </w:r>
      <w:r>
        <w:rPr>
          <w:rFonts w:eastAsia="Arial" w:cs="Arial" w:ascii="Arial" w:hAnsi="Arial"/>
          <w:color w:val="auto"/>
          <w:spacing w:val="0"/>
          <w:w w:val="100"/>
          <w:sz w:val="20"/>
          <w:szCs w:val="20"/>
          <w:lang w:val="ro-RO"/>
        </w:rPr>
        <w:t>Acest capitol se va completa, după caz cu prescripțiile minime privind semnalele luminoase, semnalele acustice, comunicarea verbală, gesturile semnal.</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5</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6</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keepNext/>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keepNext/>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7</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keepNext/>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8</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blHeader w:val="true"/>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w:t>
            </w:r>
          </w:p>
        </w:tc>
        <w:tc>
          <w:tcPr>
            <w:tcW w:w="7292"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ÎNAPOI</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DREAPTA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STÂNGA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corespundă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munca depusă;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odihnă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keepNext/>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Cap.: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și/sau în condițiile contractului colectiv de muncă aplicabil, încheiat la nivel național, la nivel de ramură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keepNext/>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îi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natură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privința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rețină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evidență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atestă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Cap.: Durata timpului de muncă - Art. 111)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Timpul de muncă reprezintă orice perioadă în care salariatul prestează munca, se află la dispoziția angajatorului și își îndeplinește sarcinile și atribuțiile, conform prevederilor contractului individual de muncă, contractului colectiv de muncă aplicabil și/sau ale legislației în vigoare.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Programul de muncă reprezintă modelul de organizare a activității, care stabilește orele și zilele când începe și când se încheie prestarea muncii.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Modelul de organizare a muncii reprezintă forma de organizare a timpului de muncă și repartizarea sa în funcție de un anumit model stabilit de angajator.</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Cap.: Durata timpului de muncă - Art. 112)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normă întreagă,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vârstă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Durata timpului de muncă - Art. 113)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uniformă,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Durata timpului de muncă - Art. 114)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referință de 4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anumite activități sau profesii stabilite prin contractul colectiv de muncă aplicabil, se pot negocia, prin contractul colectiv de muncă respectiv, perioade de referință mai mari de 4 luni, dar care să nu depășească 6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Sub rezerva respectării reglementărilor privind protecția sănătății și securității în muncă a salariaților, din motive obiective, tehnice sau privind organizarea muncii, contractele colective de muncă pot prevedea derogări de la durata perioadei de referință stabilite la alin. (3), dar pentru perioade de referință care în niciun caz să nu depășească 12 luni.</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La stabilirea perioadelor de referință prevăzute la alin. (2)-(4) nu se iau în calcul durata concediului de odihnă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Prevederile alin. (1)-(4)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absența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117)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poate stabili programe individualizate de muncă pentru toți salariații, inclusiv pentru cei care beneficiază de concediul de îngrijitor, cu acordul sau la solicitarea acestora, care pot avea o durată limitată în timp.</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fixă în care personalul se află simultan la locul de muncă și o perioadă variabilă, mobilă,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112 și 114 din Legea 53/ 2003.</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Orice refuz al solicitării prevăzute la alin. (1) trebuie motivat, în scris, de către angajator, în termen de 5 zile lucrătoare de la primirea solicitării.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Atunci când programul individualizat de muncă are o durată limitată, salariatul are dreptul de a reveni la programul de muncă inițial la sfârșitul perioadei convenite. Salariatul are dreptul să revină la programul inițial anterior încheierii perioadei convenite, în cazul schimbării circumstanțelor care au condus la stabilirea programului individualizat.</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(7)</w:t>
      </w:r>
      <w:r>
        <w:rPr>
          <w:rFonts w:eastAsia="Arial" w:cs="Arial" w:ascii="Arial" w:hAnsi="Arial"/>
          <w:color w:val="auto"/>
          <w:spacing w:val="0"/>
          <w:w w:val="100"/>
          <w:sz w:val="20"/>
          <w:szCs w:val="20"/>
          <w:lang w:val="ro-RO"/>
        </w:rPr>
        <w:t xml:space="preserve"> Prin mod de organizare flexibil a timpului de lucru se înțelege posibilitatea salariaților de adaptare a programului de lucru, inclusiv prin utilizarea formulelor de muncă la distanță, a programelor de muncă flexibile, programelor individualizate de muncă sau a unor programe de muncă cu timp redus de lucru.</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de a ține la locul de muncă definit potrivit art. 16¹ evidența orelor de muncă prestate zilnic de fiecare salariat, cu evidențierea orelor de începere și de sfârșit ale programului de lucru, și de a supune controlului inspectorilor de muncă această evidență, ori de câte ori se solicită acest lucru.</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salariații mobili și salariații care desfășoară muncă la domiciliu, angajatorul ține evidența orelor de muncă prestate zilnic de fiecare salariat în condițiile stabilite cu salariații prin acord scris, în funcție de activitatea specifică desfășurată de către aceștia.</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112</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muncă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forță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muncă suplimentară, cu respectarea prevederilor art. 114 sau 115,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114 sau 115 din Legea 53/ 2003, după caz, este interzisă, cu excepția cazului de forță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122) </w:t>
      </w:r>
      <w:r>
        <w:rPr>
          <w:rFonts w:eastAsia="Arial" w:cs="Arial" w:ascii="Arial" w:hAnsi="Arial"/>
          <w:b w:val="false"/>
          <w:color w:val="auto"/>
          <w:spacing w:val="0"/>
          <w:w w:val="100"/>
          <w:sz w:val="20"/>
          <w:szCs w:val="20"/>
          <w:lang w:val="ro-RO"/>
        </w:rPr>
        <w:t>(1) Munca suplimentară se compensează prin ore libere plătite în următoarele 90 de zile calendaristice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În perioadele de reducere a activității angajatorul are posibilitatea de a acorda zile libere plătite din care pot fi compensate orele suplimentare ce vor fi prestate în următoarele 12 luni.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Munca suplimentară - Art. 123)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122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bază.</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Munca suplimentară - Art. 124) </w:t>
      </w:r>
      <w:r>
        <w:rPr>
          <w:rFonts w:eastAsia="Arial" w:cs="Arial" w:ascii="Arial" w:hAnsi="Arial"/>
          <w:b w:val="false"/>
          <w:color w:val="auto"/>
          <w:spacing w:val="0"/>
          <w:w w:val="100"/>
          <w:sz w:val="20"/>
          <w:szCs w:val="20"/>
          <w:lang w:val="ro-RO"/>
        </w:rPr>
        <w:t>Tinerii în vârstă de până la 18 ani nu pot presta muncă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muncă de noapte.</w:t>
      </w:r>
    </w:p>
    <w:p>
      <w:pPr>
        <w:pStyle w:val="Normal"/>
        <w:keepNext/>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Salariatul de noapte reprezintă, după caz:</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cel puțin 3 ore din timpul său zilnic de lucru;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în proporție de cel puțin 30% din timpul său lunar de lucru.</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Durata normală a timpului de lucru, pentru salariatul de noapte, nu va depăși o medie de 8 ore pe zi, calculată pe o perioadă de referință de maximum 3 luni calendaristice, cu respectarea prevederilor legale cu privire la repausul săptămânal.</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Durata normală a timpului de lucru pentru salariații de noapte a căror activitate se desfășoară în condiții speciale sau deosebite de muncă nu va depăși 8 ore pe parcursul oricărei perioade de 24 de ore decât în cazul în care majorarea acestei durate este prevăzută în contractul colectiv de muncă aplicabil și numai în situația în care o astfel de prevedere nu contravine unor prevederi exprese stabilite în contractul colectiv de muncă încheiat la nivel superior.</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situația prevăzută la alin. (4), angajatorul este obligat să acorde perioade de repaus compensatorii echivalente sau compensare în bani a orelor de noapte lucrate peste durata de 8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126) </w:t>
      </w:r>
      <w:r>
        <w:rPr>
          <w:rFonts w:eastAsia="Arial" w:cs="Arial" w:ascii="Arial" w:hAnsi="Arial"/>
          <w:b w:val="false"/>
          <w:color w:val="auto"/>
          <w:spacing w:val="0"/>
          <w:w w:val="100"/>
          <w:sz w:val="20"/>
          <w:szCs w:val="20"/>
          <w:lang w:val="ro-RO"/>
        </w:rPr>
        <w:t xml:space="preserve">Salariații de noapte beneficiază: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program de lucru redus cu o oră față de durata normală a zilei de muncă, pentru zilele în care efectuează cel puțin 3 ore de muncă de noapte, fără ca aceasta să ducă la scăderea salariului de bază;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un spor pentru munca prestată în timpul nopții de 25% din salariul de bază, dacă timpul astfel lucrat reprezintă cel puțin 3 ore de noapte din timpul normal de lucru.</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Salariații care urmează să desfășoare muncă de noapte în condițiile art. 125 alin. (2)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familiei și protecției sociale și al ministrului sănătății.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muncă de noapte și au probleme de sănătate recunoscute ca având legătură cu aceasta vor fi trecuți la o muncă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muncă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Femeile gravide, lăuzele și cele care alăptează, precum și persoana singură din familia monoparentală nu pot fi obligate să presteze muncă de noapte.</w:t>
      </w:r>
    </w:p>
    <w:p>
      <w:pPr>
        <w:pStyle w:val="Heading1"/>
        <w:keepNext/>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129) </w:t>
      </w:r>
      <w:r>
        <w:rPr>
          <w:rFonts w:eastAsia="Arial" w:cs="Arial" w:ascii="Arial" w:hAnsi="Arial"/>
          <w:b w:val="false"/>
          <w:color w:val="auto"/>
          <w:spacing w:val="0"/>
          <w:w w:val="100"/>
          <w:sz w:val="20"/>
          <w:szCs w:val="20"/>
          <w:lang w:val="ro-RO"/>
        </w:rPr>
        <w:t>Norma de muncă exprimă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130) </w:t>
      </w:r>
      <w:r>
        <w:rPr>
          <w:rFonts w:eastAsia="Arial" w:cs="Arial" w:ascii="Arial" w:hAnsi="Arial"/>
          <w:b w:val="false"/>
          <w:color w:val="auto"/>
          <w:spacing w:val="0"/>
          <w:w w:val="100"/>
          <w:sz w:val="20"/>
          <w:szCs w:val="20"/>
          <w:lang w:val="ro-RO"/>
        </w:rPr>
        <w:t>Norma de muncă se exprimă, în funcție de caracteristicile procesului de producție sau de alte activități ce se normează, sub formă de norme de timp, norme de producție, norme de personal, sferă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Cap.</w:t>
      </w:r>
      <w:r>
        <w:rPr>
          <w:rFonts w:eastAsia="Arial" w:cs="Arial" w:ascii="Arial" w:hAnsi="Arial"/>
          <w:b w:val="false"/>
          <w:color w:val="auto"/>
          <w:spacing w:val="0"/>
          <w:w w:val="100"/>
          <w:sz w:val="20"/>
          <w:szCs w:val="20"/>
          <w:lang w:val="ro-RO"/>
        </w:rPr>
        <w:t>: Norma de muncă - Art. 131)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Norma de muncă - Art. 132) </w:t>
      </w:r>
      <w:r>
        <w:rPr>
          <w:rFonts w:eastAsia="Arial" w:cs="Arial" w:ascii="Arial" w:hAnsi="Arial"/>
          <w:b w:val="false"/>
          <w:color w:val="auto"/>
          <w:spacing w:val="0"/>
          <w:w w:val="100"/>
          <w:sz w:val="20"/>
          <w:szCs w:val="20"/>
          <w:lang w:val="ro-RO"/>
        </w:rPr>
        <w:t xml:space="preserve">Normele de muncă se elaborează de către angajator, conform normativelor în vigoare, sau, în cazul în care nu există normative, normele de muncă se elaborează de către angajator după consultarea sindicatului reprezentativ ori, după caz, a reprezentanților salariaților.</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Pauza de masă și repausul zilnic - Art. 134)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pauză de masă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vârstă de până la 18 ani beneficiază de o pauză de masă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Cap.: Pauza de masă și repausul zilnic - Art. 135)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Repausul săptămânal - Art. 137)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Repausul săptămânal este de 48 de ore consecutive, de regulă sâmbăta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sâmbătă și duminică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137,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14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137,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Cap.: Repausul săptămânal - Art. 138)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medicină 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vizită în întreprindere și/sau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inițiativă pentru prevenirea ori înlăturarea unui pericol care amenință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români sau de persoane fizice române, delegați pentru îndeplinirea îndatoririlor de serviciu în afara granițelor țării, pe durată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clasifică,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se comunică și angajatorilor acestora de către angajatorul pe teritoriul căruia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denumirea/ numele angajatorului pe teritoriul căruia s-a produs accidentul și, dacă este cazul, denumirea/numele angajatorului la care este/a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sediul/adresa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expertiză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Cercetarea se face imediat după comunicare, în conformitate cu prevederile art. 29 alin. (1) din Legea 319/2006.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(Preluare din H.G. 1425/ 2006 – Art. 116</w:t>
      </w:r>
      <w:r>
        <w:rPr>
          <w:rStyle w:val="ar1"/>
          <w:rFonts w:eastAsia="Arial" w:cs="Arial" w:ascii="Arial" w:hAnsi="Arial"/>
          <w:b/>
          <w:bCs w:val="false"/>
          <w:color w:val="auto"/>
          <w:spacing w:val="0"/>
          <w:w w:val="100"/>
          <w:sz w:val="20"/>
          <w:szCs w:val="20"/>
          <w:vertAlign w:val="superscript"/>
          <w:lang w:val="ro-RO"/>
        </w:rPr>
        <w:t>1</w:t>
      </w:r>
      <w:r>
        <w:rPr>
          <w:rFonts w:eastAsia="Arial" w:cs="Arial" w:ascii="Arial" w:hAnsi="Arial"/>
          <w:b w:val="false"/>
          <w:i/>
          <w:color w:val="auto"/>
          <w:spacing w:val="0"/>
          <w:w w:val="100"/>
          <w:sz w:val="20"/>
          <w:szCs w:val="20"/>
          <w:lang w:val="ro-RO"/>
        </w:rPr>
        <w:t>)</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poliției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poliție și a altor documente din care să rezulte că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se suportă de către angajatorul la care este angajată victima.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prevăzută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expertiză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expertiză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forța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constituirea resurselor de asigurare pentru accidente de muncă și boli profesionale din contribuții diferențiate în funcție de risc, suportate de angajatori sau de persoanele fizice care încheie asigurare, potrivit prevederilor prezentei legi;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 alin. (2)) </w:t>
      </w:r>
      <w:r>
        <w:rPr>
          <w:rFonts w:eastAsia="Arial" w:cs="Arial" w:ascii="Arial" w:hAnsi="Arial"/>
          <w:b w:val="false"/>
          <w:color w:val="auto"/>
          <w:spacing w:val="0"/>
          <w:w w:val="100"/>
          <w:sz w:val="20"/>
          <w:szCs w:val="20"/>
          <w:lang w:val="ro-RO"/>
        </w:rPr>
        <w:t xml:space="preserve">În situația în care se face dovada unor prejudicii care nu sunt acoperite prin prevederile prezentei legi, în mod subsidiar și complementar, intră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desfășoară activități pe baza unui contract individual de muncă, a unui raport de serviciu, contract de mandat și contract de management;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beneficiază de indemnizație de șomaj, pe toată durata efectuării practicii profesionale în cadrul cursurilor organizate potrivit legii;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ucenicii, elevii și studenții, pe toată durata efectuării practicii profesionale;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pensionarii sistemului public de pensii aflați în invaliditate ca urmare a unui accident de muncă sau boală profesională;</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voluntarii care își desfășoară activitatea în cadrul serviciilor de urgență voluntare, în baza contractului de voluntariat, pe perioada participării la intervenții sau a pregătirii în vederea participării la acestea, conform prevederilor Ordonanței Guvernului nr. 88/2001 privind înființarea, organizarea și funcționarea serviciilor publice comunitare pentru situații de urgență, aprobată cu modificări și completări prin Legea nr. 363/2002,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Prevederile prezentei legi nu se aplică personalului militar în activitate, polițiștilor, funcționarilor publici cu statut special, precum și personalului care își desfășoară activitatea în instituțiile din sectorul de apărare, ordine publică, securitate națională, precum și celor din cadrul Ministerului Justiției - Administrația Națională a Penitenciarelor.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 pot asigura în condițiile prezentei legi, pe bază de contract individual de asigurare, persoanele care se află în una sau mai multe dintre următoarele situații: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asociat unic, asociați, comanditari sau acționari;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comanditați, administratori sau manageri;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asociației familiale;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autorizate să desfășoare activități independente;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angajate în instituții internaționale;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proprietari de bunuri și/sau arendași de suprafețe agricole și forestiere;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care desfășoară activități agricole în cadrul gospodăriilor individuale sau activități private în domeniul forestier;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societăților agricole sau ai altor forme de asociere din agricultură;</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persoane interesate, care își desfășoară activitatea pe baza altor raporturi juridice decât cele menționate anterior.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Conținutul contractului individual de asigurare se stabilește în normele metodologice de aplicare a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Prevederile art. 5 sunt aplicabile și angajaților români care prestează muncă în străinătate din dispoziția angajatorilor români, în condițiile legii și ale Regulamentelor europene sau acordurilor internaționale privind coordonarea sistemelor de securitate socială,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Au calitatea de asigurat cetățenii străini sau apatrizii încadrați cu contract individual de muncă, care prestează muncă pentru un angajator român.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Sunt asimilați persoanelor asigurate cetățenii statelor membre ale UE, SEE și Confederației Elvețiene care prestează muncă pe teritoriul României în baza regulamentelor europene sau acordurilor internaționale privind coordonarea sistemelor de securitate socială nr. 883/2004 și 987/2009,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Persoanele prevăzute la alin. (1) au dreptul la prestațiile și serviciile stabilite prin prezenta lege în cazul în care fac obiectul legislației din domeniul securității sociale din România stabilită conform regulamentelor europene de coordonare a sistemelor de securitate socială nr. 883/2004 și 987/2009 și cărora le-a fost declarat un accident de muncă sau o boală profesională, conform legislației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14)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accidentelor de muncă sau bolilor profesionale, declarate în condițiile legii, în timpul activității profesionale, dreptul la prestațiile și serviciile de asigurare se menține și ulterior încetării raporturilor de muncă/serviciu.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dreptul la prestațiile și serviciile de asigurare se acordă și ulterior încetării raporturilor de muncă dacă persoana face dovada, cu acte medicale eliberate conform legii, că boala a fost cauzată de factori profesionali specifici locului de muncă și dacă a fost asigurată în condițiile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rambursări de cheltuieli;</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pensie invaliditate ca urmare a unui accident de muncă sau boală profesională.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22)</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asistență medicală de urgență la locul accidentului, în mijloacele de transport specializate și în unitățile spitalicești, precum și transportul aferent;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servicii medicale în spitale sau în clinici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cure balneoclimaterice;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investigații de specialitate și analize de laborator, necesare în vederea stabilirii caracterului de profesionalitate al bolilor.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dispozitive medicale în vederea corectării și recuperării deficiențelor organice, funcționale sau fizice.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Fondurile necesare decontării prestațiilor și serviciilor prevăzute la alin. (2) se suportă de la bugetul de stat prin bugetul Ministerului Muncii, Familiei, Protecției Sociale și Persoanelor Vârstnice.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23)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vor fi asigurate de Institutul Național de Expertiză Medicală și Recuperare a Capacității de Muncă prin personal propriu sau prin terți.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cazurile de accident de muncă confirmate anterior datei de 1 ianuarie 2005 și care necesită dispozitive medicale în vederea corectării și recuperării deficiențelor organice, funcționale sau fizice, costurile acestora se suportă din fondurile bugetului de stat prin bugetul Ministerului Muncii, Familiei, Protecției Sociale și Persoanelor Vârstnice.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Dispozitivele medicale în vederea corectării și recuperării deficiențelor organice, funcționale sau fizice se stabilesc prin contractul-cadru privind condițiile acordării asistenței medicale în cadrul sistemului de asigurări sociale de sănătate, aprobat anual prin hotărâre a Guvernului și prin normele metodologice de aplicare a acestui contract.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Contravaloarea dispozitivelor și serviciilor medicale prevăzute la alin. (1) se suportă integral din bugetul asigurărilor sociale de stat - partea de cheltuieli prevăzută distinct pentru acoperirea prestațiilor și serviciilor de asigurări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aprobă anual de CNPP.</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Persoanele care beneficiază de cure balneoclimaterice sau bilet de tratament conform prevederilor art. 22, dar pentru care nu se mai recomandă programe individuale de recuperare conform prevederilor legale în vigoare, biletele de tratament se acordă în baza unei recomandări medicale emisă de medicul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bază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rază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Cuantumul indemnizației pentru incapacitate temporară de muncă în cazul urgențelor medico-chirurgicale este de 100%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Sumele plătite de casele de asigurări de sănătate județene pentru indemnizațiile de incapacitate temporară de muncă aferente cazurilor confirmate de accidente de muncă sau boli profesionale se recuperează de la casele teritoriale de pensii, indiferent de codul de indemnizație înscris pe certificatul medical.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Sumele care reprezintă diferențe la indemnizațiile de incapacitate temporară de muncă, ca urmare a confirmării unui accident de muncă sau unei boli profesionale, se recuperează de către angajatori de la casele teritoriale de pensii, indiferent de codul de indemnizație înscris pe certificatul medical.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suportă în primele 3 zile de incapacitate de către angajator, iar din a 4-a zi de incapacitate, din sumele prevăzute pentru asigurarea la accidente de muncă și boli profesionale în bugetul asigurărilor sociale de stat.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183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specialist poate propune prelungirea concediului medical peste 183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183 de zile se face pentru cel mult 90 de zile, în funcție de evoluția cazului și de rezultatele acțiunilor de recuperare, conform procedurilor stabilite de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37)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Indemnizația pentru incapacitate temporară de muncă datorată accidentelor de muncă și bolilor profesionale se acordă pe baza certificatului medical eliberat conform dispozițiilor legale și completat sau modificat, după caz, cu codurile de indemnizație corespunzătoare și care constituie document justificativ de plată.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Persoanele prevăzute la art. 19 alin. (6) sunt obligate să depună la casele teritoriale de pensii, din raza administrativ-teritorială în care își au sediul social, exemplarul 2 al certificatului de concediu medical, în vederea recuperării sumelor reprezentând indemnizații plătite asiguraților.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situațiile în care persoana asigurată desfășoară activitatea la mai mulți angajatori indemnizația pentru incapacitate temporară de muncă ca urmare a unui accident de muncă sau boală profesională se achită o singură dată.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36.</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39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40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42) </w:t>
      </w:r>
      <w:r>
        <w:rPr>
          <w:rFonts w:eastAsia="Arial" w:cs="Arial" w:ascii="Arial" w:hAnsi="Arial"/>
          <w:b w:val="false"/>
          <w:color w:val="auto"/>
          <w:spacing w:val="0"/>
          <w:w w:val="100"/>
          <w:sz w:val="20"/>
          <w:szCs w:val="20"/>
          <w:u w:val="none"/>
          <w:lang w:val="ro-RO"/>
        </w:rPr>
        <w:t xml:space="preserve">Au dreptul la o compensație pentru atingerea integrității asigurații sau persoanele care au avut calitatea de asigurat conform prevederilor prezentei legi și care, în urma accidentelor de muncă sau a bolilor profesionale, au rămas cu leziuni permanente care produc deficiențe și reduc capacitatea de muncă între 20-50%, exclusiv persoanele care beneficiază de pensie de invaliditate.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sumă fixă în bani și se acordă integral, o singură dată,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de bază minime brute pe țară garantate în plată la data confirmării caracterului profesional al accidentului sau al bolii.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că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asigurator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47 din Legea 346/ 2002.</w:t>
      </w:r>
    </w:p>
    <w:p>
      <w:pPr>
        <w:pStyle w:val="Normal"/>
        <w:keepNext/>
        <w:widowControl/>
        <w:spacing w:before="12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49)</w:t>
      </w:r>
      <w:r>
        <w:rPr>
          <w:rFonts w:eastAsia="Arial" w:cs="Arial" w:ascii="Arial" w:hAnsi="Arial"/>
          <w:b w:val="false"/>
          <w:color w:val="auto"/>
          <w:spacing w:val="0"/>
          <w:w w:val="100"/>
          <w:sz w:val="20"/>
          <w:szCs w:val="20"/>
          <w:lang w:val="ro-RO"/>
        </w:rPr>
        <w:t xml:space="preserve"> (1) Asiguratorul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sunt necesare sau au fost deteriorate ca urmare a unui accident de muncă sau a unei boli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asigurator sunt destinate să asigure recuperarea funcționalității organismului celui asigurat, iar cuantumul acestora se va stabili anual prin decizie a președintelui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106)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Contribuțiile de asigurare pentru accidente de muncă și boli profesionale, după calculare și reținere, se virează până la data de 25 inclusiv a lunii următoare celei pentru care se datorează drepturile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cazul reorganizării judiciare sau al falimentului angajatorului, sumele datorate de acesta pentru asigurare vor fi recuperate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Neplata contribuției de asigurare de către asigurații prevăzuți la art. 6 la termenul stabilit atrage neacordarea drepturilor la prestații și servicii de asigurare pentru accidente de muncă și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Neplata contribuției de asigurare de către asigurații prevăzuți la art. 6</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346/ 2002, pe o perioadă de 3 luni consecutive, constituie pentru asigurator motiv de reziliere a contractului individual de asigurare.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450/ 825/ 2006 – Art. 28)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recalificare sau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lăuzele sau femeile care alăptează, tinerii,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Prezenta ordonanța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română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reședința în România, dacă fac parte din categoriile de salariate prevăzute la art. 1, lit. a)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tehnice, organizatorice și de protecție a muncii corespunzătoare,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dispensa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postnatal obligatoriu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prevăzută la art. 3, alin. (1) din O.U.G. 96/ 2003 și nu informează în scris angajatorul despre starea lor, acesta este exonerat de obligațiile sale prevăzute în prezenta ordonanță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prevină expunerea salariatelor prevăzute la art. 2 lit. c)-e)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 căror listă este prevăzută în anexa nr.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evalueze anual, precum și la orice modificare a condițiilor de muncă natura, gradul și durata expunerii salariatelor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scopul determinării oricărui risc pentru securitatea sau sănătatea lor și oricărei repercusiuni asupra sarcinii ori alăptării.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supuse la locurile lor de muncă, precum și asupra drepturilor care decurg din prezenta ordonanță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cazul în care o salariată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și desfășoară la locul de muncă o activitate care prezintă riscuri pentru sănătatea sau securitatea sa ori cu repercusiuni asupra sarcinii și alăptării, în sensul celor prevăzute la art. 5 alin.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îi modifice în mod corespunzător condițiile și/ sau orarul de muncă ori, dacă nu este posibil, să o repartizeze la alt loc de muncă fără riscuri pentru sănătatea sau securitatea sa, conform recomandării medicului de medicina muncii sau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la art. 9</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reglementărilor legale privind sistemul public de pensii și alte drepturi de asigurări sociale,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data revenirii din concediul postnatal obligatoriu, salariatele prevăzute la art. 2 lit. d) și e), în cazul în care nu solicită concediul și indemnizația pentru creșterea și îngrijirea copilului până la împlinirea vârstei de 2 ani sau, în cazul copilului cu handicap,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și/sau a programului de lucru nu este din punct de vedere tehnic și/sau obiectiv posibilă sau nu poate fi cerută din motive bine întemeiate, angajatorul va lua măsurile necesare pentru a schimba locul de muncă al salariatei respective.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Salariatele prevăzute la art. 2 lit. c) și e) din O.U.G. 96/ 2003 nu pot fi obligate de către angajator să realizeze activități pentru care evaluarea a evidențiat riscul de expunere la agenți sau condiții de muncă prevăzute la lit. A și B din anexa nr.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dispensa pentru consultații prenatale în limita a maximum 16 ore pe lună,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la art. 2 lit. g) din O.U.G. 96/ 2003 și în cadrul concediului pentru lăuzie stabilit prin </w:t>
      </w:r>
      <w:r>
        <w:rPr>
          <w:rFonts w:eastAsia="Arial" w:cs="Arial" w:ascii="Arial" w:hAnsi="Arial"/>
          <w:b w:val="false"/>
          <w:i/>
          <w:vanish/>
          <w:color w:val="auto"/>
          <w:spacing w:val="0"/>
          <w:w w:val="100"/>
          <w:sz w:val="20"/>
          <w:szCs w:val="20"/>
          <w:lang w:val="ro-RO"/>
        </w:rPr>
        <w:t>&lt;LLNK 12000 19 10 201 0 17&gt;</w:t>
      </w:r>
      <w:r>
        <w:rPr>
          <w:rFonts w:eastAsia="Arial" w:cs="Arial" w:ascii="Arial" w:hAnsi="Arial"/>
          <w:b w:val="false"/>
          <w:i/>
          <w:color w:val="auto"/>
          <w:spacing w:val="0"/>
          <w:w w:val="100"/>
          <w:sz w:val="20"/>
          <w:szCs w:val="20"/>
          <w:lang w:val="ro-RO"/>
        </w:rPr>
        <w:t>Legea nr. 19/ 2000</w:t>
      </w:r>
      <w:r>
        <w:rPr>
          <w:rFonts w:eastAsia="Arial" w:cs="Arial" w:ascii="Arial" w:hAnsi="Arial"/>
          <w:b w:val="false"/>
          <w:color w:val="auto"/>
          <w:spacing w:val="0"/>
          <w:w w:val="100"/>
          <w:sz w:val="20"/>
          <w:szCs w:val="20"/>
          <w:lang w:val="ro-RO"/>
        </w:rPr>
        <w:t xml:space="preserve"> privind sistemul public de pensii și alte drepturi de asigurări sociale,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muncă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de noapte.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și indemnizația de risc maternal, conform art. 10 și 11.</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vârstă de până la 2 ani sau, în cazul copilului cu handicap, în vârstă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vârstă de până la 7 ani sau, în cazul copilului cu handicap, în vârstă de până la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prevăzută la art. 21, alin. (1) lit. b) din O.U.G. 96/ 2003 se extinde, o singură dată,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sau a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1)</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susceptibile să prezinte un risc specific de expunere, la care se face referire în art. 5 din O.U.G. 96/ 2003: Agenți fizici, considerați ca agenți cauzali pentru leziuni ale fetusului și/sau dezlipirea de placentă,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ambiante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oboseală mentală, fizică,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neexhaustivă a agenților și condițiilor de muncă, la care se face referire în art. 14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atmosferă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că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Salariatele care alăptează, prevăzute la art. 2 lit. e) 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 chimici: - plumbul și derivații săi,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și/sau a unității, angajatorul trebuie să ia măsuri corespunzătoare, astfel încât lucrătorii și/sau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și/sau unității, în general, cât și la nivelul fiecărui post de lucru și/sau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consultă lucrătorii și/ sau reprezentanții lor și permit participarea acestora la discutarea tuturor problemelor referitoare la securitatea și sănătatea în muncă.</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măsură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și/sau lucrătorii au dreptul să apeleze la autoritățile competente, în cazul în care consideră că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că lucrătorii din întreprinderi și/sau unități din exterior, care desfășoară activități în întreprinderea și/sau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 xml:space="preserve">(2) </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 xml:space="preserve"/>
      </w:r>
      <w:r>
        <w:rPr>
          <w:rFonts w:eastAsia="Arial" w:cs="Arial" w:ascii="Arial" w:hAnsi="Arial"/>
          <w:b w:val="false"/>
          <w:color w:val="auto"/>
          <w:spacing w:val="0"/>
          <w:w w:val="100"/>
          <w:sz w:val="20"/>
          <w:szCs w:val="20"/>
          <w:shd w:fill="FFFFFF" w:val="clear"/>
          <w:lang w:val="ro-RO"/>
        </w:rPr>
        <w:t>(Preluare din HG 767/2016 – Art. II, pct. 1) Art. 80¹. - Durata instruirii lucrătorilor în domeniul securității și sănătății în muncă, pentru fiecare dintre cele 3 faze prevăzute la art. 77 din HG 1425/2006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În cadrul {{client.legalName}},</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conform informațiilor prevăzute în anexa nr. 11 din H.G. 1425/ 2006,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(3¹)</w:t>
      </w:r>
      <w:r>
        <w:rPr>
          <w:rStyle w:val="tal1"/>
          <w:rFonts w:eastAsia="Arial" w:cs="Arial" w:ascii="Arial" w:hAnsi="Arial"/>
          <w:color w:val="auto"/>
          <w:spacing w:val="0"/>
          <w:w w:val="100"/>
          <w:sz w:val="20"/>
          <w:szCs w:val="20"/>
          <w:lang w:val="ro-RO"/>
        </w:rPr>
        <w:t xml:space="preserve"> 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(3²)</w:t>
      </w:r>
      <w:r>
        <w:rPr>
          <w:rStyle w:val="tal1"/>
          <w:rFonts w:eastAsia="Arial" w:cs="Arial" w:ascii="Arial" w:hAnsi="Arial"/>
          <w:color w:val="auto"/>
          <w:spacing w:val="0"/>
          <w:w w:val="100"/>
          <w:sz w:val="20"/>
          <w:szCs w:val="20"/>
          <w:lang w:val="ro-RO"/>
        </w:rPr>
        <w:t xml:space="preserve"> În conformitate cu prevederile art. 17 alin. (3) lit. o) și alin. (4) din Legea nr.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(3³)</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w:t>
      </w:r>
      <w:r>
        <w:rPr>
          <w:rStyle w:val="tal1"/>
          <w:rFonts w:eastAsia="Arial" w:cs="Arial" w:ascii="Arial" w:hAnsi="Arial"/>
          <w:b w:val="false"/>
          <w:color w:val="auto"/>
          <w:spacing w:val="0"/>
          <w:w w:val="100"/>
          <w:sz w:val="20"/>
          <w:szCs w:val="20"/>
          <w:lang w:val="ro-RO"/>
        </w:rPr>
        <w:t xml:space="preserve"> 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(5)</w:t>
      </w:r>
      <w:r>
        <w:rPr>
          <w:rStyle w:val="tal1"/>
          <w:rFonts w:eastAsia="Arial" w:cs="Arial" w:ascii="Arial" w:hAnsi="Arial"/>
          <w:b w:val="false"/>
          <w:color w:val="auto"/>
          <w:spacing w:val="0"/>
          <w:w w:val="100"/>
          <w:sz w:val="20"/>
          <w:szCs w:val="20"/>
          <w:lang w:val="ro-RO"/>
        </w:rPr>
        <w:t xml:space="preserve"> Fișa de instruire individuală se păstrează în întreprindere/unitate, pe suport hârtie sau în format electronic, după caz, de la angajare până la data încetării raporturilor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și/sau unitate cu permisiunea angajatorului, cu excepția altor participanți la procesul de muncă, așa cum sunt definiți potrivit art. 5 lit. c) din lege, angajatorul stabilește prin regulamentul intern instrucțiuni privind deplasarea acestora în întreprindere și/sau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bază de contract de prestări de servicii, angajatorul beneficiar al serviciilor va asigura instruirea lucrătorilor respectivi privind activitățile specifice întreprinderii și/sau unității respective, riscurile pentru securitatea și sănătatea lor, precum și măsurile și activitățile de prevenire și protecție la nivelul întreprinderii și/sau unității, în general.</w:t>
      </w:r>
    </w:p>
    <w:p>
      <w:pPr>
        <w:pStyle w:val="Normal"/>
        <w:keepNext/>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Rezultatul instruirii prevăzute la alin. (2)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colectivă, conform modelului prevăzut în anexa nr. 12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12 din H.G. 1425/ 2006.</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(4)</w:t>
      </w:r>
      <w:r>
        <w:rPr>
          <w:rStyle w:val="tal1"/>
          <w:rFonts w:eastAsia="Arial" w:cs="Arial" w:ascii="Arial" w:hAnsi="Arial"/>
          <w:color w:val="auto"/>
          <w:spacing w:val="0"/>
          <w:w w:val="100"/>
          <w:sz w:val="20"/>
          <w:szCs w:val="20"/>
          <w:lang w:val="ro-RO"/>
        </w:rPr>
        <w:t xml:space="preserve">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color w:val="auto"/>
          <w:spacing w:val="0"/>
          <w:w w:val="100"/>
          <w:sz w:val="20"/>
          <w:szCs w:val="20"/>
          <w:lang w:val="ro-RO"/>
        </w:rPr>
        <w:t xml:space="preserve">(Preluare din H.G. 1425/ 2006 – Instruirea lucrătorilor – Art. 83)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keepNext/>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Rezultatul verificării prevăzute la alin. (1)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individuală, conform modelului prevăzut în anexa nr. 11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11 din H.G. 1425/ 2006.</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Instruirea la locul de muncă se va efectua pe baza tematicilor întocmite de către angajatorul care și-a asumat atribuțiile din domeniul securității și sănătății în muncă/lucrătorul desemnat/serviciul intern/serviciul extern de prevenire și protecție și aprobate de către angajator, tematici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și/sau postului de lucru;</w:t>
      </w:r>
    </w:p>
    <w:p>
      <w:pPr>
        <w:pStyle w:val="Heading1"/>
        <w:keepNext/>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u w:val="none"/>
          <w:lang w:val="ro-RO"/>
        </w:rPr>
        <w:t/>
      </w:r>
    </w:p>
    <w:p>
      <w:pPr>
        <w:pStyle w:val="Normal"/>
        <w:widowControl/>
        <w:spacing w:before="0" w:after="12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1425/ 2006 – Instruirea lucrătorilor – Art. 94) </w:t>
      </w:r>
      <w:r>
        <w:rPr>
          <w:rStyle w:val="tal1"/>
          <w:rFonts w:eastAsia="Arial" w:cs="Arial" w:ascii="Arial" w:hAnsi="Arial"/>
          <w:color w:val="auto"/>
          <w:spacing w:val="0"/>
          <w:w w:val="100"/>
          <w:sz w:val="20"/>
          <w:szCs w:val="20"/>
          <w:lang w:val="ro-RO"/>
        </w:rPr>
        <w:t xml:space="preserve">Începerea efectivă a activității la postul de lucru de către lucrătorul instruit se face numai după verificarea însușirii cunoștințelor de către șeful ierarhic superior celui care a făcut instruirea și se consemnează în fișa de instruire individuală întocmită pe suport hârtie sau în format electronic.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shd w:fill="FFFFFF" w:val="clear"/>
          <w:lang w:val="ro-RO"/>
        </w:rPr>
        <w:t xml:space="preserve"> intervalul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Instruirea periodică se va efectua pe baza tematicilor întocmite de către angajatorul care și-a asumat atribuțiile din domeniul securității și sănătății în muncă/lucrătorul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bCs w:val="false"/>
          <w:color w:val="auto"/>
          <w:spacing w:val="0"/>
          <w:w w:val="100"/>
          <w:sz w:val="20"/>
          <w:szCs w:val="20"/>
          <w:lang w:val="ro-RO"/>
        </w:rPr>
        <w:t>{{cli</w:t>
      </w:r>
      <w:r>
        <w:rPr>
          <w:rFonts w:eastAsia="Arial" w:cs="Arial" w:ascii="Arial" w:hAnsi="Arial"/>
          <w:b w:val="false"/>
          <w:bCs w:val="false"/>
          <w:color w:val="auto"/>
          <w:spacing w:val="0"/>
          <w:w w:val="100"/>
          <w:sz w:val="20"/>
          <w:szCs w:val="20"/>
          <w:lang w:val="ro-RO"/>
        </w:rPr>
        <w:t>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durata instruirii periodice prevăzute la art. 98 se stabilește de către angajator, împreună cu: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keepNext w:val="false"/>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se va efectua pe baza tematicilor întocmite de către angajatorul care și-a asumat atribuțiile din domeniul securității și sănătății în muncă/lucrătorul desemnat/ serviciul intern de prevenire și protecție/serviciul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enunța: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intrinsecă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instituirea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Principala consecință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Astfel spus, legislația impune intensificarea preocupărilor pentru calitatea de securitate a echipamentelor tehnice, pentru înlocuirea sau chiar eliminarea substanțelor și produselor periculoase, pentru organizarea ergonomică a locurilor de muncă, pentru creșterea nivelului de pregătire a lucrătorilor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importanței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keepNext/>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arată că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cunoștință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bază cel puțin o cerință legală iar majoritatea cerințelor legale au prevăzute contravenții sau chiar pedeapsa cu pușcăria cuprinsă între 1 (unu) și 2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amendă. Fapta săvârșită din culpă se pedepsește cu închisoare de la 3 luni la un an sau cu amendă.</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amendă iar pentru informații mai exacte privind răspunderea juridică se va consulta Legea 319/ 2006 - Capitolul </w:t>
      </w:r>
      <w:r>
        <w:rPr>
          <w:rFonts w:eastAsia="Arial" w:cs="Arial" w:ascii="Arial" w:hAnsi="Arial"/>
          <w:bCs/>
          <w:i/>
          <w:color w:val="auto"/>
          <w:spacing w:val="0"/>
          <w:w w:val="100"/>
          <w:sz w:val="20"/>
          <w:szCs w:val="20"/>
          <w:lang w:val="ro-RO"/>
        </w:rPr>
        <w:t>VIII, Art. 37 – 43</w:t>
      </w:r>
      <w:r>
        <w:rPr>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În egală măsură, la producerea unui accident sau a unei îmbolnăviri profesionale, trebuie luate în considerație și elementele concrete și indiscutabile ce nu pot da naștere la nicio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costul indirect care de cele mai multe ori este greu de evaluat la adevăratele sale dimensiuni.</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Costul indirect implică</w:t>
      </w:r>
      <w:r>
        <w:rPr>
          <w:rFonts w:eastAsia="Arial" w:cs="Arial" w:ascii="Arial" w:hAnsi="Arial"/>
          <w:color w:val="auto"/>
          <w:spacing w:val="0"/>
          <w:w w:val="100"/>
          <w:sz w:val="20"/>
          <w:szCs w:val="20"/>
          <w:lang w:val="ro-RO"/>
        </w:rPr>
        <w:t>:</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Costuri diverse (penalizări pentru întârzieri la livrare, alterarea imaginii firmei în rândul clienților, surclasare de produse, penalizări, amenzi pentru accident).</w:t>
      </w:r>
    </w:p>
    <w:p>
      <w:pPr>
        <w:pStyle w:val="Normal"/>
        <w:keepNext/>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 xml:space="preserve">De asemenea, la estimarea costului indirect trebuie incluse și unele costuri incalculabile suportate de victimă constând în:</w:t>
      </w:r>
    </w:p>
    <w:p>
      <w:pPr>
        <w:pStyle w:val="Normal"/>
        <w:keepNext/>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cheltuielilor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vis à vis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Creșterea eficienței muncii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Cu privire la acordarea primului ajutor 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lang w:val="ro-RO"/>
        </w:rPr>
        <w:t xml:space="preserve">Având în vedere prevederile de mai sus, </w:t>
      </w:r>
      <w:r>
        <w:rPr>
          <w:rStyle w:val="tpa1"/>
          <w:rFonts w:eastAsia="Arial" w:cs="Arial" w:ascii="Arial" w:hAnsi="Arial"/>
          <w:color w:val="auto"/>
          <w:spacing w:val="0"/>
          <w:w w:val="100"/>
          <w:sz w:val="20"/>
          <w:szCs w:val="20"/>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(conform H.G. 1425, anexa 6, lit. A, punctul 5) participând la un curs privind acordarea primului ajutor cu durata de 40 de ore. Efectuarea acestui curs </w:t>
      </w:r>
      <w:r>
        <w:rPr>
          <w:rStyle w:val="tax1"/>
          <w:rFonts w:eastAsia="Arial" w:cs="Arial" w:ascii="Arial" w:hAnsi="Arial"/>
          <w:b w:val="false"/>
          <w:color w:val="auto"/>
          <w:spacing w:val="0"/>
          <w:w w:val="100"/>
          <w:sz w:val="20"/>
          <w:szCs w:val="20"/>
          <w:lang w:val="ro-RO"/>
        </w:rPr>
        <w:t>constituie pregătire în domeniul securității și sănătății în muncă corespunzător nivelului de pregătire de bază.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vor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responsabilă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trusă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 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i/>
          <w:color w:val="auto"/>
          <w:spacing w:val="0"/>
          <w:w w:val="100"/>
          <w:sz w:val="20"/>
          <w:szCs w:val="20"/>
          <w:lang w:val="ro-RO"/>
        </w:rPr>
        <w:t>a înlătura cauza, de a ameliora suferința și de a preveni complicațiile</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Antisepticele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(apă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absorbant (mai gros-absoarbe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Straturile de tifon și vată trebuie să fie multiple și groase (motive de frig-plaga trebuie să stea la temperatura corpului-37 grade). Dacă plaga n-are sânge →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întreține (materia combustibilă, oxigenul din aer și temperatura), încetează.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flux și gaze corozive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provocate la instalațiile de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tactică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r>
        <w:rPr>
          <w:rFonts w:eastAsia="Arial" w:cs="Arial" w:ascii="Arial" w:hAnsi="Arial"/>
          <w:color w:val="auto"/>
          <w:spacing w:val="0"/>
          <w:w w:val="100"/>
          <w:sz w:val="20"/>
          <w:szCs w:val="20"/>
          <w:lang w:val="ro-RO"/>
        </w:rPr>
        <w:t>:</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Limitarea propagării incendiilor</w:t>
      </w:r>
      <w:r>
        <w:rPr>
          <w:rFonts w:eastAsia="Arial" w:cs="Arial" w:ascii="Arial" w:hAnsi="Arial"/>
          <w:color w:val="auto"/>
          <w:spacing w:val="0"/>
          <w:w w:val="100"/>
          <w:sz w:val="20"/>
          <w:szCs w:val="20"/>
          <w:lang w:val="ro-RO"/>
        </w:rPr>
        <w:t>:</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ale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cafeină,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ordonanță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siguranță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competențelor ce îi revin, cu avizul poliției rutiere, este obligat să instaleze indicatoare ori alte dispozitive speciale, să aplice marcaje pe drumurile publice, conform standardelor în vigoare, și să le mențină în stare corespunzătoare.</w:t>
      </w:r>
    </w:p>
    <w:p>
      <w:pPr>
        <w:pStyle w:val="Heading1"/>
        <w:keepNext/>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(1¹)</w:t>
      </w:r>
      <w:r>
        <w:rPr>
          <w:rFonts w:eastAsia="Arial" w:cs="Arial" w:ascii="Arial" w:hAnsi="Arial"/>
          <w:b w:val="false"/>
          <w:color w:val="auto"/>
          <w:spacing w:val="0"/>
          <w:w w:val="100"/>
          <w:sz w:val="20"/>
          <w:szCs w:val="20"/>
          <w:lang w:val="ro-RO"/>
        </w:rPr>
        <w:t xml:space="preserve"> Persoanele responsabile, prevăzute la alin. (1), au următoarele obligații: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asigure instalarea, întreținerea și verificarea semnalizării rutiere, în conformitate cu standardele în vigoare;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instaleze indicatoare rutiere și alte mijloace de semnalizare rutieră sau dispozitive speciale pe drumurile publice din localitatea aflată în zona de administrare, inclusiv cele de intrare și ieșire, cu aceste semnificații;</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aplice/să instaleze, să întrețină și să verifice calitatea mijloacelor de semnalizare rutiere, în conformitate cu standardele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(1²)</w:t>
      </w:r>
      <w:r>
        <w:rPr>
          <w:rFonts w:eastAsia="Arial" w:cs="Arial" w:ascii="Arial" w:hAnsi="Arial"/>
          <w:b w:val="false"/>
          <w:color w:val="auto"/>
          <w:spacing w:val="0"/>
          <w:w w:val="100"/>
          <w:sz w:val="20"/>
          <w:szCs w:val="20"/>
          <w:lang w:val="ro-RO"/>
        </w:rPr>
        <w:t xml:space="preserve"> Administratorul drumului public, conform competențelor ce îi revin, cu avizul poliției rutiere, este obligat să aplice marcaje rutiere rezonatoare transversale sau alte dispozitive de calmare a traficului, înainte de intrarea în localitate, de trecerea pentru pietoni și de trecerea la nivel cu o cale ferată, marcaje rutiere rezonatoare longitudinale, precum și marcaje pentru zone cu risc crescut de accidente, în cazurile prevăzute de reglementările în vigoare.</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sau lucrare aflată pe platforma drumului, care stânjenește sau pune în pericol siguranța circulației, conform reglementărilor tehnice specifice semnalizării temporare, și să ia toate măsurile de înlăturare a acestora.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(2¹)</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ia toate măsurile de înlăturare a indicatoarelor și mijloacelor de semnalizare rutieră temporară la finalizarea lucrărilor, astfel încât să nu stânjenească sau să pună în pericol siguranța circulației.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poliției rutiere și în conformitate cu prevederile reglementărilor tehnice specifice.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Orice măsură de restricție a circulației pe drumurile publice se dispune de către administratorul drumului numai cu avizul poliției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(8)</w:t>
      </w:r>
      <w:r>
        <w:rPr>
          <w:rFonts w:eastAsia="Arial" w:cs="Arial" w:ascii="Arial" w:hAnsi="Arial"/>
          <w:b w:val="false"/>
          <w:color w:val="auto"/>
          <w:spacing w:val="0"/>
          <w:w w:val="100"/>
          <w:sz w:val="20"/>
          <w:szCs w:val="20"/>
          <w:lang w:val="ro-RO"/>
        </w:rPr>
        <w:t xml:space="preserve"> Prin excepție de la alin. (7), în cazuri temeinic justificate, poliția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(9)</w:t>
      </w:r>
      <w:r>
        <w:rPr>
          <w:rFonts w:eastAsia="Arial" w:cs="Arial" w:ascii="Arial" w:hAnsi="Arial"/>
          <w:b w:val="false"/>
          <w:color w:val="auto"/>
          <w:spacing w:val="0"/>
          <w:w w:val="100"/>
          <w:sz w:val="20"/>
          <w:szCs w:val="20"/>
          <w:lang w:val="ro-RO"/>
        </w:rPr>
        <w:t xml:space="preserve"> În scopul asigurării desfășurării în condiții de siguranță a circulației pe drumurile publice, poliția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corespundă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fiecare autovehicul și tramvai trebuie să fie dotat cu trusă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mopedele,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construcțiilor și turismului.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atestă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se supun inspecției tehnice periodice.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aparținând instituțiilor din sistemul de apărare, ordine publică și siguranță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al căror termen de valabilitate a inspecției tehnice periodice a expirat, precum și a celor neasigurate pentru răspundere civilă pentru caz de pagube produse terților prin accidente de circulație.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defecțiunilor tehnice ale vehiculelor se face de către poliția rutieră, iar verificarea stării tehnice a vehiculelor aflate în trafic pe drumurile publice se face de către poliția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20,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 conduce pe drumurile publice autovehicule, tramvaie ori tractoare agricole sau forestiere, conducătorii acestora trebuie să posede permis de conducere corespunzător.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Permisele de conducere se eliberează pentru următoarele categorii de vehicule: AM, A1, A2, A, B1, B, BE, C1, C1E, C, CE, D1, D1E, D, DE, Tr, Tr1, Tb sau Tv.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Descrierea categoriilor de vehicule prevăzute la alin. (2), pentru care se eliberează permise de conducere, este prevăzută în anexa nr. 1.</w:t>
      </w:r>
    </w:p>
    <w:p>
      <w:pPr>
        <w:pStyle w:val="Normal"/>
        <w:keepNext/>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Vârsta minimă pentru obținerea permisului de conducere este de: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16 ani împliniți, pentru categoriile de vehicule AM, A1 și B1;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18 ani împliniți, pentru categoriile de vehicule A2, B, BE, C1, C1E, Tr și Tr1;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20 de ani împliniți, dacă persoana are o experiență de cel puțin 2 ani de conducere a motocicletelor din categoria A2, sau 24 de ani împliniți, pentru motocicletele din categoria 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21 de ani pentru categoriile de vehicule C, CE, D1 și D1E, precum și pentru triciclurile cu motor din categoria A;</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24 de ani pentru categoriile de vehicule D, DE, Tb și Tv.</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de tractoare agricole sau forestiere ori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de tractoare agricole sau forestiere ori de tramvaie vor fi verificați periodic din punct de vedere medical și al capacităților psihologice, în condițiile stabilite de reglementările în vigoare.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29, alin. 1, 2)</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sonoră;</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astfel încât să fie observate cu ușurință și de la o distanță adecvată, atât pe timp de zi, cât și pe timp de noapte, de cei cărora li se adresează și trebuie să fie în deplină concordanță între ele, precum și într-o stare tehnică de funcționare corespunzătoare.</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galbenă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căii ferate, după caz. Instalarea mijloacelor de semnalizare rutieră și a dispozitivelor speciale se execută numai cu avizul prealabil al poliției rutiere.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natură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indicatoarele ori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speciale de avertizare, luminoase sau sonore ale autovehiculelor, prevăzute la art. 32 alin. (2) lit. a) și b);</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obligă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albastră obligă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galbenă obligă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poliției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și se efectuează de către executantul lucrărilor, cu avizul poliției rutiere, astfel încât aceasta să asigure deplasarea în siguranță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 în conformitate cu reglementările tehnice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35,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fluența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natură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(4¹)</w:t>
      </w:r>
      <w:r>
        <w:rPr>
          <w:rFonts w:eastAsia="Arial" w:cs="Arial" w:ascii="Arial" w:hAnsi="Arial"/>
          <w:color w:val="auto"/>
          <w:spacing w:val="0"/>
          <w:w w:val="100"/>
          <w:sz w:val="20"/>
          <w:szCs w:val="20"/>
          <w:lang w:val="ro-RO"/>
        </w:rPr>
        <w:t xml:space="preserve"> Funcționarii din cadrul Autorității Vamale Române, respectiv al Agenției Naționale de Administrare Fiscală, care, în scopul exercitării atribuțiilor de control specifice, efectuează semnale de oprire pentru conducătorii autovehiculelor, sunt obligați să poarte uniformă cu înscrisuri și însemne distinctive și mijloace de protecție fluorescent-reflectorizante pe fond de culoare verde, respectiv roșie, stabilite prin hotărâre a Guvernului.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Polițiștii de frontieră, îndrumătorii de circulație ai Ministerului Apărării Naționale, agenții căilor ferate, personalul autorizat din zona lucrărilor pe drumurile publice, precum și membrii patrulelor școlare de circulație sunt obligați ca, pe timpul exercitării atribuțiilor, să poarte echipament de protecție-avertizare fluorescent-reflectorizant.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Conducătorii autovehiculelor și tractoarelor agricole sau forestiere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Nevăzătorii sunt obligați să poarte în deplasarea pe drumurile publice baston de culoare albă.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persoanele care ocupă locuri prevăzute prin construcție cu centuri sau dispozitive de siguranță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mersului,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nedirijată;</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această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nedirijată, conducătorul de vehicul este obligat să cedeze trecerea vehiculelor care vin din partea dreaptă,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br/>
      </w: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i/>
          <w:b w:val="false"/>
          <w:color w:val="auto"/>
          <w:spacing w:val="0"/>
          <w:w w:val="100"/>
          <w:sz w:val="20"/>
          <w:szCs w:val="20"/>
          <w:lang w:val="ro-RO"/>
        </w:rPr>
        <w:t xml:space="preserve">(Preluare din O.U.G. 195/ 2002 cu modificările și completările ulterioare – Noul cod rutier – Art. 59,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intersecțiile cu circulație nedirijată, conducătorul de vehicul este obligat să acorde prioritate de trecere vehiculelor care circulă pe șine. Acestea pierd prioritatea de trecere când efectuează virajul spre stânga sau când semnalizarea rutieră din acea zonă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intermitentă suplimentară, montată la același nivel cu lumina verde normală a semaforului, sub forma unei săgeți verzi pe fond negru, cu vârful spre dreapta, aprinderea acesteia semnifică permisiunea pentru vehicule de a-și continua drumul în direcția indicată de săgeata,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dovadă</w:t>
      </w:r>
      <w:r>
        <w:rPr>
          <w:rFonts w:eastAsia="Arial" w:cs="Arial" w:ascii="Arial" w:hAnsi="Arial"/>
          <w:b w:val="false"/>
          <w:color w:val="auto"/>
          <w:spacing w:val="0"/>
          <w:w w:val="100"/>
          <w:sz w:val="20"/>
          <w:szCs w:val="20"/>
          <w:lang w:val="ro-RO"/>
        </w:rPr>
        <w:t xml:space="preserve"> de prudență sporită la apropierea și traversarea liniilor de cale ferată curentă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ferată curentă, prevăzută cu bariere sau semibariere, conducătorii de vehicule sunt obligați să oprească în dreptul indicatorului ce obligă la oprire, dacă acestea sunt în curs de coborâre ori în poziție orizontală și/ sau semnalele sonore și luminoase care anunță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ferată industrială, semnalizată corespunzător, conducătorii de vehicule sunt obligați să se conformeze semnificației semnalelor agentului de cale ferată.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precum și pentru autovehiculele de transport marfă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și mopedele care circulă pe drumurile publice trebuie să fie echipate cu mijloace de iluminare și dispozitive reflectorizant-fluorescente. Este interzisă circulația acestora pe timp de noapte fără aceste mijloace și dispozitive în stare de funcționare.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72, alin. 1–7)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stângă a drumului, în direcția lor de mers. Când și acostamentul lipsește, pietonii sunt obligați să circule cât mai aproape de marginea din partea stângă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colțul străzii, numai după ce s-au asigurat că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poartă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precum și cele care se deplasează pe patine sau dispozitive cu role.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al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tcMar>
              <w:left w:w="113" w:type="dxa"/>
              <w:right w:w="113"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