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 xml:space="preserve">Prezentul document a fost reîntocmit în conformitate cu art. 7 alin. (3) lit. i), art. 20 alin. (1) lit. a) din Legea 319/ 2006 (Legea securității și sănătății în muncă), respectiv cu art. 15 alin. (1) pct.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Legea 319/ 2006, Art. 1, 3, 5 – 7, 9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H.G. 1425/ 2006, Art. 2, 14, 15, 28 – 31, 52 – 56, 74 – 100, 108 – 115, 116¹, 117, 118, 120, 121, 139, 141, 142;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Legea 53/ 2003 (actualizată), Art. 37 – 40, 111 – 132, 134, 135, 137,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 xml:space="preserve">Art. 2 + completări mijloace de semnalizare, 3, 5,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355/ 2007, Art. 2, 5, 7 – 25, 27, 28, 30 – 34, 36, 37, 39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1048/ 2006, Art. 3 – 7, 11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xml:space="preserve">, Art. 28;</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 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 sau unității, inclusiv orice alt loc din aria întreprinderii și/ 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 și din comportamentul neadecvat al factorului uman care nu a afectat lucrătorii, dar ar fi fost posibil să aibă asemenea urmări și/ 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 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 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 – (3)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 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 xml:space="preserve">încetarea aptitudinii unei mașini, instalații, unui utilaj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executant-sarcină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 xml:space="preserve">prevenire realizată în stadiul de concepție/ 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zonă situată în interiorul sau în jurul echipamentului de muncă în care o persoană este expusă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xml:space="preserve">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H.G.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 xml:space="preserve">să fie abilitat de Comisia de abilitare a serviciilor externe de prevenire și protecție și de avizare a documentațiilor cu caracter tehnic de informare și instruire în domeniul securității și sănătății în muncă, în conformitate cu procedura stabilită la art. 35 – 45 din H.G. 1425/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 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 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din H.G. 1425/ 2006, în cazul întreprinderilor și/ 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 xml:space="preserve">însoțesc echipa/ 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(1¹)</w:t>
      </w:r>
      <w:r>
        <w:rPr>
          <w:rStyle w:val="tal1"/>
          <w:rFonts w:eastAsia="Arial" w:cs="Arial" w:ascii="Arial" w:hAnsi="Arial"/>
          <w:color w:val="auto"/>
          <w:spacing w:val="0"/>
          <w:w w:val="100"/>
          <w:sz w:val="20"/>
          <w:szCs w:val="20"/>
          <w:lang w:val="ro-RO"/>
        </w:rPr>
        <w:t xml:space="preserve"> 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(5)</w:t>
      </w:r>
      <w:r>
        <w:rPr>
          <w:rStyle w:val="tal1"/>
          <w:rFonts w:eastAsia="Arial" w:cs="Arial" w:ascii="Arial" w:hAnsi="Arial"/>
          <w:color w:val="auto"/>
          <w:spacing w:val="0"/>
          <w:w w:val="100"/>
          <w:sz w:val="20"/>
          <w:szCs w:val="20"/>
          <w:lang w:val="ro-RO"/>
        </w:rPr>
        <w:t xml:space="preserve"> 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 xml:space="preserve">ptitudinea în muncă reprezintă capacitatea lucrătorului din punct de vedere medical de a desfășura activitatea la locul de muncă în profesia/ 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stabilirea aptitudinii în muncă, medicul specialist de medicina muncii poate solicita și alte investigații și examene medicale de specialitate, suplimentare celor prevăzute la art. 8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r>
      <w:bookmarkEnd w:id="90"/>
      <w:r>
        <w:rPr>
          <w:rFonts w:eastAsia="Arial" w:cs="Arial" w:ascii="Arial" w:hAnsi="Arial"/>
          <w:color w:val="auto"/>
          <w:spacing w:val="0"/>
          <w:w w:val="100"/>
          <w:sz w:val="20"/>
          <w:szCs w:val="20"/>
          <w:u w:val="none"/>
          <w:lang w:val="ro-RO"/>
        </w:rPr>
        <w:t xml:space="preserve"> </w:t>
      </w:r>
      <w:r>
        <w:rPr>
          <w:rStyle w:val="tal1"/>
          <w:rFonts w:eastAsia="Arial" w:cs="Arial" w:ascii="Arial" w:hAnsi="Arial"/>
          <w:color w:val="auto"/>
          <w:spacing w:val="0"/>
          <w:w w:val="100"/>
          <w:sz w:val="20"/>
          <w:szCs w:val="20"/>
          <w:lang w:val="ro-RO"/>
        </w:rPr>
        <w:t>Inaptitudinea permanentă în muncă, în sensul prezentei hotărâri,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anamneza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(6¹) </w:t>
      </w:r>
      <w:r>
        <w:rPr>
          <w:rStyle w:val="tal1"/>
          <w:rFonts w:eastAsia="Arial" w:cs="Arial" w:ascii="Arial" w:hAnsi="Arial"/>
          <w:color w:val="auto"/>
          <w:spacing w:val="0"/>
          <w:w w:val="100"/>
          <w:sz w:val="20"/>
          <w:szCs w:val="20"/>
          <w:lang w:val="ro-RO"/>
        </w:rPr>
        <w:t>Medicul de medicina muncii poate solicita medicului de familie adeverință/ scrisoare medicală care să ateste starea de sănătate a viitorului angajat.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r>
        <w:rPr>
          <w:rFonts w:eastAsia="Arial" w:cs="Arial" w:ascii="Arial" w:hAnsi="Arial"/>
          <w:color w:val="auto"/>
          <w:spacing w:val="0"/>
          <w:w w:val="100"/>
          <w:sz w:val="20"/>
          <w:szCs w:val="20"/>
          <w:u w:val="none"/>
          <w:lang w:val="ro-RO"/>
        </w:rPr>
        <w:t xml:space="preserve"> </w:t>
      </w: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periodic poate cuprinde investigații și/ sau examene medicale de specialitate suplimentare celor prevăzute în anexa nr. 1 din H.G. 355/ 2007.</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 xml:space="preserve">În vederea conștientizării nevoilor și obiectivelor privind sănătatea și securitatea în muncă în rândul lucrătorilor, a angajatorilor sau a altor factori implicați în acest scop, medicii de medicina muncii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 xml:space="preserve">Contestația prevăzută la art. 30 din H.G. 355/ 2007 se adresează direcției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 xml:space="preserve">Direcția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 xml:space="preserve">46/ 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 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 xml:space="preserve">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 sau transformări după data intrării în vigoare a prezentei hotărâri, angajatorul trebuie să ia toate măsurile necesare pentru a se asigura că aceste modificări, extinderi și/ 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ind w:left="1080" w:hanging="36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ind w:left="1080" w:hanging="36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ind w:left="1080" w:hanging="36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120"/>
        <w:ind w:left="1080" w:hanging="36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w:t>
      </w:r>
      <w:r>
        <w:rPr>
          <w:rFonts w:eastAsia="Arial" w:cs="Arial" w:ascii="Arial" w:hAnsi="Arial"/>
          <w:color w:val="auto"/>
          <w:spacing w:val="0"/>
          <w:w w:val="100"/>
          <w:sz w:val="20"/>
          <w:szCs w:val="20"/>
          <w:lang w:val="ro-RO"/>
        </w:rPr>
        <w:t>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
            </w:r>
            <w:r>
              <w:rPr>
                <w:rFonts w:eastAsia="Arial" w:cs="Arial" w:ascii="Arial" w:hAnsi="Arial"/>
                <w:color w:val="auto"/>
                <w:spacing w:val="0"/>
                <w:w w:val="100"/>
                <w:sz w:val="20"/>
                <w:szCs w:val="20"/>
                <w:lang w:val="ro-RO"/>
              </w:rPr>
              <w:t/>
            </w:r>
            <w:r>
              <w:rPr>
                <w:rFonts w:eastAsia="Arial" w:cs="Arial" w:ascii="Arial" w:hAnsi="Arial"/>
                <w:color w:val="auto"/>
                <w:spacing w:val="0"/>
                <w:w w:val="100"/>
                <w:sz w:val="20"/>
                <w:szCs w:val="20"/>
                <w:vertAlign w:val="subscript"/>
                <w:lang w:val="ro-RO"/>
              </w:rPr>
              <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nu se aplică semnalizării pentru introducerea pe piață a substanțelor și amestecurilor periculoase, a produselor și/ sau a echipamentelor, cu excepția cazului în care alte dispoziții legale fac referire în mod expres la aceasta.</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 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 sau poziția brațelor și/ 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Atunci când riscurile nu pot fi evitate sau reduse suficient prin mijloace tehnice de protecție colectivă ori prin măsuri, metode sau procedee de organizare a muncii, angajatorul trebuie să prevadă semnalizarea de securitate și/ sau de sănătate la locul de muncă, în conformitate cu prevederile H.G. 971/ 2006,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1</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 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 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ind w:hanging="360" w:left="14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ind w:hanging="360" w:left="14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ind w:hanging="360" w:left="108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2</w:t>
      </w:r>
      <w:r>
        <w:rPr>
          <w:rFonts w:eastAsia="Arial" w:cs="Arial" w:ascii="Arial" w:hAnsi="Arial"/>
          <w:i/>
          <w:color w:val="auto"/>
          <w:spacing w:val="0"/>
          <w:w w:val="100"/>
          <w:sz w:val="20"/>
          <w:szCs w:val="20"/>
          <w:lang w:val="ro-RO"/>
        </w:rPr>
        <w:t xml:space="preserve">)</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 xml:space="preserve">orma și culorile panourilor sunt definite la alin. (3) – (7),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 xml:space="preserve">ictogramele utilizate pot fi ușor diferite sau mai detaliate decât cele prezentate la alin. (3) – (7),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MĂNUȘI OBLIGATORII</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SCARĂ</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SCARĂ</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4</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5</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6</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ind w:left="1080" w:hanging="36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ind w:left="1080" w:hanging="36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7</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 xml:space="preserve">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 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8</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 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 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 xml:space="preserve">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 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 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 – (4)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 – (4)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din Legea 53/ 2003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din Legea 53/ 2003,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122)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 – 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din Legea 53/ 2003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 xml:space="preserve">–</w:t>
      </w:r>
      <w:r>
        <w:rPr>
          <w:rFonts w:eastAsia="Arial" w:cs="Arial" w:ascii="Arial" w:hAnsi="Arial"/>
          <w:b w:val="false"/>
          <w:i/>
          <w:color w:val="auto"/>
          <w:spacing w:val="0"/>
          <w:w w:val="100"/>
          <w:sz w:val="20"/>
          <w:szCs w:val="20"/>
          <w:lang w:val="ro-RO"/>
        </w:rPr>
        <w:t xml:space="preserve"> Norma de muncă – Art. 131)</w:t>
      </w:r>
      <w:r>
        <w:rPr>
          <w:rFonts w:eastAsia="Arial" w:cs="Arial" w:ascii="Arial" w:hAnsi="Arial"/>
          <w:b w:val="false"/>
          <w:color w:val="auto"/>
          <w:spacing w:val="0"/>
          <w:w w:val="100"/>
          <w:sz w:val="20"/>
          <w:szCs w:val="20"/>
          <w:lang w:val="ro-RO"/>
        </w:rPr>
        <w:t xml:space="preserve">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lit. c) și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 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 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 xml:space="preserve">denumirea/ numele angajatorului pe teritoriul căruia s-a produs accidentul și, dacă este cazul, denumirea/ numele angajatorului la care este/ 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 xml:space="preserve">sediul/ 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 xml:space="preserve">Cercetarea se face imediat după comunicare, în conformitate cu prevederile art. 29 alin. (1) din Legea 319/ 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 xml:space="preserve">(Preluare din H.G. 1425/ 2006 – Art. 116</w:t>
      </w:r>
      <w:r>
        <w:rPr>
          <w:rStyle w:val="ar1"/>
          <w:rFonts w:eastAsia="Arial" w:cs="Arial" w:ascii="Arial" w:hAnsi="Arial"/>
          <w:b/>
          <w:bCs w:val="false"/>
          <w:i/>
          <w:color w:val="auto"/>
          <w:spacing w:val="0"/>
          <w:w w:val="100"/>
          <w:sz w:val="20"/>
          <w:szCs w:val="20"/>
          <w:vertAlign w:val="superscript"/>
          <w:lang w:val="ro-RO"/>
        </w:rPr>
        <w:t xml:space="preserve">1</w:t>
      </w:r>
      <w:r>
        <w:rPr>
          <w:rFonts w:eastAsia="Arial" w:cs="Arial" w:ascii="Arial" w:hAnsi="Arial"/>
          <w:b w:val="false"/>
          <w:i/>
          <w:color w:val="auto"/>
          <w:spacing w:val="0"/>
          <w:w w:val="100"/>
          <w:sz w:val="20"/>
          <w:szCs w:val="20"/>
          <w:lang w:val="ro-RO"/>
        </w:rPr>
        <w:t xml:space="preserve">)</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 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 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 2001 privind înființarea, organizarea și funcționarea serviciilor publice comunitare pentru situații de urgență, aprobată cu modificări și completări prin Legea nr. 363/ 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din Legea 346/ 2002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 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 – 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din Legea 346/ 2002, dar pentru care nu se mai recomandă programe individuale de recuperare conform prevederilor legale în vigoare, biletele de tratament se acordă în baza unei recomandări medicale emisă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Asigurătorul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din Legea 346/ 2002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 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 – 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asigurător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Asigurătorul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asigurător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alin. (1) lit. a) din O.U.G. 96/ 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securității și sănătății în muncă nr. 319/ 2006, cu modificările ulterioare, cu excepția art. 4, se aplică în întregime întregului domeniu la care se face referire la alin. (1), fără a aduce atingere dispozițiilor mai restrictive și/ 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concediul de risc maternal este concediul de care beneficiază salariatele prevăzute la art. 2, lit. c) – e) din O.U.G. 96/ 2003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prevină expunerea salariatelor prevăzute la art. 2 lit. c) – e) din O.U.G. 96/ 2003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 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6)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 alin.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după data revenirii din concediul de lăuzie obligatoriu, salariatele prevăzute la art. 2 lit. d) și e) din O.U.G. 96/ 2003,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 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 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 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 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 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 sau a unității, angajatorul trebuie să ia măsuri corespunzătoare, astfel încât lucrătorii și/ 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 sau unității, în general, cât și la nivelul fiecărui post de lucru și/ 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 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 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 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 sau unități din exterior, care desfășoară activități în întreprinderea și/ 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 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 xml:space="preserve">Angajatorul trebuie să dispună de programe de instruire-testare la nivelul întreprinderii și/ 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i/>
          <w:color w:val="auto"/>
          <w:spacing w:val="0"/>
          <w:w w:val="100"/>
          <w:sz w:val="20"/>
          <w:szCs w:val="20"/>
          <w:lang w:val="ro-RO"/>
        </w:rPr>
        <w:t xml:space="preserve"/>
      </w:r>
      <w:r>
        <w:rPr>
          <w:rFonts w:eastAsia="Arial" w:cs="Arial" w:ascii="Arial" w:hAnsi="Arial"/>
          <w:b w:val="false"/>
          <w:i/>
          <w:color w:val="auto"/>
          <w:spacing w:val="0"/>
          <w:w w:val="100"/>
          <w:sz w:val="20"/>
          <w:szCs w:val="20"/>
          <w:shd w:fill="FFFFFF" w:val="clear"/>
          <w:lang w:val="ro-RO"/>
        </w:rPr>
        <w:t xml:space="preserve">(Preluare din H.G. 767/ 2016 – Art. II, pct. 1)</w:t>
      </w:r>
      <w:r>
        <w:rPr>
          <w:rFonts w:eastAsia="Arial" w:cs="Arial" w:ascii="Arial" w:hAnsi="Arial"/>
          <w:b w:val="false"/>
          <w:color w:val="auto"/>
          <w:spacing w:val="0"/>
          <w:w w:val="100"/>
          <w:sz w:val="20"/>
          <w:szCs w:val="20"/>
          <w:shd w:fill="FFFFFF" w:val="clear"/>
          <w:lang w:val="ro-RO"/>
        </w:rPr>
        <w:t xml:space="preserve"> Art. 80¹. - Durata instruirii lucrătorilor în domeniul securității și sănătății în muncă, pentru fiecare dintre cele 3 faze prevăzute la art. 77 din H.G. 1425/ 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 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(3¹)</w:t>
      </w:r>
      <w:r>
        <w:rPr>
          <w:rStyle w:val="tal1"/>
          <w:rFonts w:eastAsia="Arial" w:cs="Arial" w:ascii="Arial" w:hAnsi="Arial"/>
          <w:color w:val="auto"/>
          <w:spacing w:val="0"/>
          <w:w w:val="100"/>
          <w:sz w:val="20"/>
          <w:szCs w:val="20"/>
          <w:lang w:val="ro-RO"/>
        </w:rPr>
        <w:t xml:space="preserve"> 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(3²)</w:t>
      </w:r>
      <w:r>
        <w:rPr>
          <w:rStyle w:val="tal1"/>
          <w:rFonts w:eastAsia="Arial" w:cs="Arial" w:ascii="Arial" w:hAnsi="Arial"/>
          <w:color w:val="auto"/>
          <w:spacing w:val="0"/>
          <w:w w:val="100"/>
          <w:sz w:val="20"/>
          <w:szCs w:val="20"/>
          <w:lang w:val="ro-RO"/>
        </w:rPr>
        <w:t xml:space="preserve"> În conformitate cu prevederile art. 17 alin. (3) lit. o) și alin. (4) din Legea nr. 53/ 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(3³)</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 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 sau unitate cu permisiunea angajatorului, cu excepția altor participanți la procesul de muncă, așa cum sunt definiți potrivit art. 5 lit. c) din Legea 319/ 2006, angajatorul stabilește prin regulamentul intern instrucțiuni privind deplasarea acestora în întreprindere și/ 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 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 sau unității respective, riscurile pentru securitatea și sănătatea lor, precum și măsurile și activitățile de prevenire și protecție la nivelul întreprinderii și/ 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(4)</w:t>
      </w:r>
      <w:r>
        <w:rPr>
          <w:rStyle w:val="tal1"/>
          <w:rFonts w:eastAsia="Arial" w:cs="Arial" w:ascii="Arial" w:hAnsi="Arial"/>
          <w:color w:val="auto"/>
          <w:spacing w:val="0"/>
          <w:w w:val="100"/>
          <w:sz w:val="20"/>
          <w:szCs w:val="20"/>
          <w:lang w:val="ro-RO"/>
        </w:rPr>
        <w:t xml:space="preserve"> 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i/>
          <w:color w:val="auto"/>
          <w:spacing w:val="0"/>
          <w:w w:val="100"/>
          <w:sz w:val="20"/>
          <w:szCs w:val="20"/>
          <w:lang w:val="ro-RO"/>
        </w:rPr>
        <w:t xml:space="preserve">(Preluare din H.G. 1425/ 2006 – Instruirea lucrătorilor – Art. 83)</w:t>
      </w:r>
      <w:r>
        <w:rPr>
          <w:rFonts w:eastAsia="Arial" w:cs="Arial" w:ascii="Arial" w:hAnsi="Arial"/>
          <w:b w:val="false"/>
          <w:color w:val="auto"/>
          <w:spacing w:val="0"/>
          <w:w w:val="100"/>
          <w:sz w:val="20"/>
          <w:szCs w:val="20"/>
          <w:lang w:val="ro-RO"/>
        </w:rPr>
        <w:t xml:space="preserve">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 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 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 xml:space="preserve">Instruirea la locul de muncă se va efectua pe baza tematicilor întocmite de către angajatorul care și-a asumat atribuțiile din domeniul securității și sănătății în muncă/ lucrătorul desemnat/ serviciul intern/ 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 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 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 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 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I</w:t>
      </w:r>
      <w:r>
        <w:rPr>
          <w:rFonts w:eastAsia="Arial" w:cs="Arial" w:ascii="Arial" w:hAnsi="Arial"/>
          <w:b w:val="false"/>
          <w:bCs w:val="false"/>
          <w:color w:val="auto"/>
          <w:spacing w:val="0"/>
          <w:w w:val="100"/>
          <w:sz w:val="20"/>
          <w:szCs w:val="20"/>
          <w:lang w:val="ro-RO"/>
        </w:rPr>
        <w:t/>
      </w:r>
      <w:r>
        <w:rPr>
          <w:rFonts w:eastAsia="Arial" w:cs="Arial" w:ascii="Arial" w:hAnsi="Arial"/>
          <w:b w:val="false"/>
          <w:color w:val="auto"/>
          <w:spacing w:val="0"/>
          <w:w w:val="100"/>
          <w:sz w:val="20"/>
          <w:szCs w:val="20"/>
          <w:lang w:val="ro-RO"/>
        </w:rPr>
        <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Intervalul dintre două instruiri periodice și periodicitatea verificării instruirii vor fi stabilite prin programul de instruire-testare elaborat la nivelul întreprinderii și/ sau unității potrivit prevederilor art. 15 alin. (1) pct. 8 din H.G. 1425/ 2006, în funcție de condițiile locului de muncă și/ 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 xml:space="preserve">Instruirea periodică 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Durata instruirii periodice prevăzute la art. 98 din H.G. 1425/ 2006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 xml:space="preserve">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Altfel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 xml:space="preserve">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Costuri diverse (penalizări pentru întârzieri la livrare, alterarea imaginii firmei în rândul clienților, declasare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vizavi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participând la un curs privind acordarea primului ajutor, adecvat mărimii și/ sau riscurilor spe</w:t>
      </w:r>
      <w:r>
        <w:rPr>
          <w:rStyle w:val="tax1"/>
          <w:rFonts w:eastAsia="Arial" w:cs="Arial" w:ascii="Arial" w:hAnsi="Arial"/>
          <w:b w:val="false"/>
          <w:color w:val="auto"/>
          <w:spacing w:val="0"/>
          <w:w w:val="100"/>
          <w:sz w:val="20"/>
          <w:szCs w:val="20"/>
          <w:lang w:val="ro-RO"/>
        </w:rPr>
        <w:t>cifice unității (conform Legii 319/ 2006, art. 10, alin. (3)).</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 – 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Iodul se folosește sub formă de tinctură (1 – 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Antiseptice oxidante (apă oxigenată) – prin oxigenul pe care-l degajă are 2 roluri: unul mecanic și un rol dezinfectant și citofilactic (ocazionează dezvoltarea țesuturilor moi). În plăgile arse se recomandă spălături zilnice cu apă oxigenată (2 – 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 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 xml:space="preserve">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 – 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 xml:space="preserve"/>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al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în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punctelor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 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autovehiculele, cu excepția celor din categoriile AM, A1, A2 și A, tractoarele agricole sau forestiere și tramvaiele trebuie să fie dotate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și tractoarele agricole sau forestiere,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Sunt exceptate de la prevederile alin. (1) vehiculele lente și mașinile autopropulsate.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Omologarea este opțională în cazul vehiculelor prevăzute la art. 13 alin. (3) din O.U.G. 195/ 2002 care îndeplinesc condițiile prevăzute la art. 2 alin. (2) lit. d) și alin. (3) lit. b) din Regulamentul (UE) 2018/858 al Parlamentului European și al Consiliului din 30 mai 2018 privind omologarea și supravegherea pieței autovehiculelor și remorcilor acestora, precum și ale sistemelor, componentelor și unităților tehnice separate destinate vehiculelor respective, de modificare a Regulamentelor (CE) nr. 715/2007 și (CE) nr. 595/2009 și de abrogare a Directivei 2007/46/CE, precum și în cazul celor care îndeplinesc condițiile prevăzute la art. 2 alin. (2) lit. e) din Regulamentul (UE) nr. 168/2013 al Parlamentului European și al Consiliului din 15 ianuarie 2013 privind omologarea și supravegherea pieței pentru vehiculele cu două sau trei roți și pentru cvadricicluri.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cu avizul Ministerului Afacerilor Interne - Inspectoratul General al Poliției Române, care se publică în Monitorul Oficial al României, Partea 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sau înregistrate, cu excepția mașinilor autopropulsate cu o viteză maximă constructivă care nu depășește 25 km/h, a autovehiculelor cu șenile, a tramvaielor și a vehiculelor cu tracțiune animală, se supun inspecției tehnice periodice,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sau în reprezentanțe R.A.R.,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și tractoarele agricole sau forestiere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neasigurate obligatoriu de răspundere civilă auto pentru prejudicii produse terților prin accidente de circulație, a celor pentru care a intervenit suspendarea înmatriculării, precum și a vehiculelor înregistrate al căror termen de valabilitate a inspecției tehnice periodice a expirat ori este anulată.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deficiențelor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 la O.U.G. 195/ 2002.</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29, alin. (1), (2))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Participanții la trafic sunt obligați să respecte și semnalele polițiștilor de frontieră, ale îndrumătorilor de circulație ai Ministerului Apărării Naționale, ale personalului echipelor mobile din cadrul Autorității Vamale Române, precum și ale organelor fiscale din cadrul Agenției Naționale de Administrare Fiscală, aflate în îndeplinirea atribuțiilor de serviciu, ale agenților căilor ferate, ale persoanelor desemnate pentru dirijarea circulației pe sectoarele de drum pe care se execută lucrări de reabilitare a acestora, ale membrilor patrulelor școlare de circulație care acționează în imediata apropiere a unităților de învățământ, precum și ale nevăzătorilor, potrivit prevederilor din regulament.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30,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conform standardelor și reglementărilor tehnice specifice în vigoare,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 După instalarea mijloacelor de semnalizare rutieră și a dispozitivelor speciale de acest fel, administratorul drumului public, împreună cu poliția rutieră, are obligația să verifice că acestea sunt conform avizului prealabil obținut.</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fața activă a indicatoarelor ori pe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 xml:space="preserve">semnalele speciale de avertizare, luminoase sau sonore ale autovehiculelor, prevăzute la art. 32 alin. (2) lit. a) și b) din O.U.G. 195/ 2002;</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și/ sau indicatoarele electronice,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32, alin. (1))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Aceasta este însoțită pe timpul nopții de lămpi cu lumină galbenă intermitentă sau în cascadă și se efectuează de către executantul lucrărilor, cu avizul poliției rutiere, astfel încât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w:t>
      </w:r>
      <w:r>
        <w:rPr>
          <w:rFonts w:eastAsia="Arial" w:cs="Arial" w:ascii="Arial" w:hAnsi="Arial"/>
          <w:color w:val="auto"/>
          <w:spacing w:val="0"/>
          <w:w w:val="100"/>
          <w:sz w:val="20"/>
          <w:szCs w:val="20"/>
          <w:u w:val="none"/>
          <w:lang w:val="ro-RO"/>
        </w:rPr>
        <w:t/>
      </w:r>
      <w:r>
        <w:rPr>
          <w:rFonts w:eastAsia="Arial" w:cs="Arial" w:ascii="Arial" w:hAnsi="Arial"/>
          <w:color w:val="auto"/>
          <w:spacing w:val="0"/>
          <w:w w:val="100"/>
          <w:sz w:val="20"/>
          <w:szCs w:val="20"/>
          <w:lang w:val="ro-RO"/>
        </w:rPr>
        <w:t>formitate cu standardele și reglementările tehnice specifice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36,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tractoare agricole sau forestiere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Conducătorii de autovehicule având locuri prevăzute prin construcție cu centuri de siguranță trebuie să informeze pasagerii cu privire la obligația legală de a le purta în timpul circulației pe drumurile publice.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Conducătorii de autovehicule având locuri prevăzute prin construcție cu centuri de siguranță au obligația să se asigure că, pe timpul conducerii vehiculului, minorii poartă centurile de siguranță sau sunt transportați numai în dispozitive de fixare în scaune pentru copii omologate, în condițiile prevăzute de regulament.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(1³)</w:t>
      </w:r>
      <w:r>
        <w:rPr>
          <w:rFonts w:eastAsia="Arial" w:cs="Arial" w:ascii="Arial" w:hAnsi="Arial"/>
          <w:color w:val="auto"/>
          <w:spacing w:val="0"/>
          <w:w w:val="100"/>
          <w:sz w:val="20"/>
          <w:szCs w:val="20"/>
          <w:lang w:val="ro-RO"/>
        </w:rPr>
        <w:t xml:space="preserve"> Conducătorilor de autovehicule le este interzis să transporte copii în vârstă de până la 3 ani în autovehicule care nu sunt echipate cu sisteme de siguranță, cu excepția celor destinate transportului public de persoane, precum și a taxiurilor dacă în acestea din urmă ocupă orice alt loc decât cel de pe scaunul din față, în condițiile prevăzute în regulament. Copiii cu vârsta de peste 3 ani, având o înălțime de până la 150 cm, pot fi transportați în autovehicule care nu sunt echipate cu sisteme de siguranță doar dacă ocupă, pe timpul transportului, orice alt loc decât cel de pe scaunul din față.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deplasării pe drumurile publice,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sau o trotinetă electrică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mopedele și trotinetele electrice care circulă pe drumurile publice trebuie să fie echipate cu mijloace de iluminare și dispozitive reflectorizant-fluorescente. Este interzisă circulația acestora pe timp de noapte fără aceste mijloace și dispozitive în stare de funcționare.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Casca de protecție este obligatorie pentru conducătorii de biciclete și trotinete electrice a căror vârstă este sub 16 ani, atunci când se deplasează pe partea carosabilă.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Se interzice transportul pasagerilor pe trotinete electrice.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72, alin. (1) – (7))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cele care se deplasează pe patine sau dispozitive cu role fără mijloace de autopropulsie, precum și cele care conduc vehicule a căror viteză maximă prin construcție nu depășește 6 km/h și sunt echipate cu un motor electric.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