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319/2006 – Art. 8 alin. (1), alin. (4) și din H.G. 1425/2006 –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 xml:space="preserve">{{cli</w:t>
      </w:r>
      <w:r>
        <w:rPr>
          <w:rStyle w:val="PageNumber"/>
          <w:rFonts w:eastAsia="Arial" w:cs="Arial" w:ascii="Arial" w:hAnsi="Arial"/>
          <w:color w:val="auto"/>
          <w:spacing w:val="0"/>
          <w:w w:val="100"/>
          <w:sz w:val="20"/>
          <w:szCs w:val="20"/>
          <w:lang w:val="ro-RO"/>
        </w:rPr>
        <w:t xml:space="preserve">ent.legalName}}</w:t>
      </w:r>
      <w:r>
        <w:rPr>
          <w:rFonts w:eastAsia="Arial" w:cs="Arial" w:ascii="Arial" w:hAnsi="Arial"/>
          <w:color w:val="auto"/>
          <w:spacing w:val="0"/>
          <w:w w:val="100"/>
          <w:sz w:val="20"/>
          <w:szCs w:val="20"/>
          <w:lang w:val="ro-RO"/>
        </w:rPr>
        <w:t xml:space="preserv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xml:space="preserve">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ascii="Arial" w:hAnsi="Arial" w:cs="Arial" w:eastAsia="Arial"/>
          <w:color w:val="auto"/>
          <w:sz w:val="20"/>
          <w:szCs w:val="20"/>
          <w:lang w:val="ro-RO"/>
        </w:rPr>
        <w:t xml:space="preserve">Personalul din cadrul serviciului extern de prevenire și protecție {{provider.legalName}} va efectua instruirea la locul de muncă și instruirea periodică pentru personalul de conducere al locurilor de muncă din cadrul {{client.legalName}}{{#training.administrative}} și pentru personalul tehnico-administrativ{{/training.administrative}}. Personalul de conducere al locurilor de muncă: {{#workplaceManagers}}{{name}}, având funcția de {{jobTitle}} în cadrul unității;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 xml:space="preserve">Personalul de conducere al locurilor de muncă – {{workplaceManagersText}} – va efectua instruirea la locul de muncă și instruirea periodică pentru personalul de execuție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1425/2006 – Art. 80¹ – Durata instruirii introductiv-generale nu va fi mai mică de 1 oră;</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Instruirea se face:</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 xml:space="preserve">la angajarea lucrătorilor definiți conform art. 5 lit. a) din Legea 319/2006;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1425/2006 – Art. 80¹ – Durata instruirii la locul de muncă nu va fi mai mică de 1 oră;</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Instruirea se face:</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 xml:space="preserve">la angajarea lucrătorilor definiți conform art. 5 lit. a) din Legea 319/2006;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 xml:space="preserve">Instruirea la locul de muncă se face tuturor lucrătorilor prevăzuți la art. 83</w:t>
      </w:r>
      <w:r>
        <w:rPr>
          <w:rFonts w:eastAsia="Arial" w:cs="Arial" w:ascii="Arial" w:hAnsi="Arial"/>
          <w:i/>
          <w:color w:val="auto"/>
          <w:spacing w:val="0"/>
          <w:w w:val="100"/>
          <w:sz w:val="20"/>
          <w:szCs w:val="20"/>
          <w:lang w:val="ro-RO"/>
        </w:rPr>
        <w:t xml:space="preserve"> din H.G. 1425/2006</w:t>
      </w:r>
      <w:r>
        <w:rPr>
          <w:rStyle w:val="tal1"/>
          <w:rFonts w:eastAsia="Arial" w:cs="Arial" w:ascii="Arial" w:hAnsi="Arial"/>
          <w:color w:val="auto"/>
          <w:spacing w:val="0"/>
          <w:w w:val="100"/>
          <w:sz w:val="20"/>
          <w:szCs w:val="20"/>
          <w:lang w:val="ro-RO"/>
        </w:rPr>
        <w:t xml:space="preserve">, inclusiv la schimbarea locului de muncă în cadrul întreprinderii și/ 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1425/2006 </w:t>
      </w:r>
      <w:r>
        <w:rPr>
          <w:rStyle w:val="tpa1"/>
          <w:rFonts w:eastAsia="Arial" w:cs="Arial" w:ascii="Arial" w:hAnsi="Arial"/>
          <w:color w:val="auto"/>
          <w:spacing w:val="0"/>
          <w:w w:val="100"/>
          <w:sz w:val="20"/>
          <w:szCs w:val="20"/>
          <w:lang w:val="ro-RO"/>
        </w:rPr>
        <w:t xml:space="preserve">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1425/2006 – Art. 80¹) În cadrul {{client.legalName}}, </w:t>
      </w:r>
      <w:r>
        <w:rPr>
          <w:rStyle w:val="spar"/>
          <w:rFonts w:eastAsia="Arial" w:cs="Arial" w:ascii="Arial" w:hAnsi="Arial"/>
          <w:color w:val="auto"/>
          <w:spacing w:val="0"/>
          <w:w w:val="100"/>
          <w:sz w:val="20"/>
          <w:szCs w:val="20"/>
          <w:shd w:fill="FFFFFF" w:val="clear"/>
          <w:lang w:val="ro-RO"/>
        </w:rPr>
        <w:t xml:space="preserve">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 xml:space="preserve">{{training.periodicDuration}}</w:t>
      </w:r>
      <w:r>
        <w:rPr>
          <w:rFonts w:eastAsia="Arial" w:cs="Arial" w:ascii="Arial" w:hAnsi="Arial"/>
          <w:color w:val="auto"/>
          <w:spacing w:val="0"/>
          <w:w w:val="100"/>
          <w:sz w:val="20"/>
          <w:szCs w:val="20"/>
          <w:lang w:val="ro-RO"/>
        </w:rPr>
        <w:t xml:space="preserve">;</w:t>
      </w:r>
    </w:p>
    <w:p>
      <w:pPr>
        <w:pStyle w:val="Normal"/>
        <w:widowControl/>
        <w:numPr>
          <w:ilvl w:val="0"/>
          <w:numId w:val="13"/>
        </w:numPr>
        <w:spacing w:before="0" w:after="120"/>
        <w:ind w:hanging="360" w:left="1080"/>
        <w:jc w:val="left"/>
        <w:rPr>
          <w:rFonts w:ascii="Arial" w:hAnsi="Arial" w:cs="Arial"/>
          <w:sz w:val="20"/>
          <w:szCs w:val="20"/>
        </w:rPr>
      </w:pPr>
      <w:r>
        <w:rPr>
          <w:rFonts w:ascii="Arial" w:hAnsi="Arial" w:cs="Arial" w:eastAsia="Arial"/>
          <w:color w:val="auto"/>
          <w:sz w:val="20"/>
          <w:szCs w:val="20"/>
          <w:lang w:val="ro-RO"/>
        </w:rPr>
        <w:t xml:space="preserve">Având în vedere specificul activităților desfășurate în cadrul {{client.legalName}}, conform prevederilor din H.G. 1425/2006 – art. 96 alin. (2), {{training.intervalPhrase}} pentru efectuarea instruirilor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tehnico-administrativ și șefii de locuri de muncă</w:t>
      </w:r>
      <w:r>
        <w:rPr>
          <w:rFonts w:eastAsia="Arial" w:cs="Arial" w:ascii="Arial" w:hAnsi="Arial"/>
          <w:color w:val="auto"/>
          <w:spacing w:val="0"/>
          <w:w w:val="100"/>
          <w:sz w:val="20"/>
          <w:szCs w:val="20"/>
          <w:lang w:val="ro-RO"/>
        </w:rPr>
        <w:t xml:space="preserve"> vor fi instruiți </w:t>
      </w:r>
      <w:r>
        <w:rPr>
          <w:rFonts w:eastAsia="Arial" w:cs="Arial" w:ascii="Arial" w:hAnsi="Arial"/>
          <w:b/>
          <w:bCs/>
          <w:color w:val="auto"/>
          <w:spacing w:val="0"/>
          <w:w w:val="100"/>
          <w:sz w:val="20"/>
          <w:szCs w:val="20"/>
          <w:lang w:val="ro-RO"/>
        </w:rPr>
        <w:t xml:space="preserve">{{training.administrativeFrequency}}, </w:t>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 xml:space="preserve">{{training.workerFrequency}},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 xml:space="preserve">(Preluare din H.G. 1425/2006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 xml:space="preserve">(Preluare din H.G. 1425/2006 – Art. 99 – conf. H.G. 767/2016 –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 xml:space="preserve">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H.G. 1425/2006 – Art. 80¹ – Durata instruirii suplimentare nu va fi mai mică de 1 oră.</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 xml:space="preserve">(Preluare din H.G. 1425/2006 –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 xml:space="preserve">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pe bază de teste, potrivit tematicii de instruire</w:t>
      </w:r>
      <w:r>
        <w:rPr>
          <w:rStyle w:val="PageNumber"/>
          <w:rFonts w:eastAsia="Arial" w:cs="Arial" w:ascii="Arial" w:hAnsi="Arial"/>
          <w:color w:val="auto"/>
          <w:spacing w:val="0"/>
          <w:w w:val="100"/>
          <w:sz w:val="20"/>
          <w:szCs w:val="20"/>
          <w:lang w:val="ro-RO"/>
        </w:rPr>
        <w:t xml:space="preserve">.</w:t>
      </w:r>
    </w:p>
    <w:p>
      <w:pPr>
        <w:pStyle w:val="Normal"/>
        <w:widowControl/>
        <w:numPr>
          <w:ilvl w:val="0"/>
          <w:numId w:val="4"/>
        </w:numPr>
        <w:spacing w:before="120" w:after="60"/>
        <w:jc w:val="left"/>
        <w:rPr>
          <w:rStyle w:val="PageNumber"/>
          <w:rFonts w:ascii="Arial" w:hAnsi="Arial" w:cs="Arial"/>
          <w:sz w:val="20"/>
          <w:szCs w:val="20"/>
        </w:rPr>
      </w:pPr>
      <w:r>
        <w:rPr>
          <w:rFonts w:ascii="Arial" w:hAnsi="Arial" w:cs="Arial" w:eastAsia="Arial"/>
          <w:color w:val="auto"/>
          <w:sz w:val="20"/>
          <w:szCs w:val="20"/>
          <w:lang w:val="ro-RO"/>
        </w:rPr>
        <w:t xml:space="preserve">Verificarea efectuării instruirii periodice, a însușirii cunoștințelor și a modului de respectare a prevederilor legislative, a regulilor, instrucțiunilor și deciziilor în cadrul {{client.legalName}} se va face selectiv și/ sau cumulat de către angajator, cu consultanța specialiștilor în domeniul securității și sănătății în muncă din cadrul {{provider.legalName}}.</w:t>
      </w:r>
    </w:p>
    <w:p>
      <w:pPr>
        <w:pStyle w:val="Normal"/>
        <w:widowControl/>
        <w:numPr>
          <w:ilvl w:val="0"/>
          <w:numId w:val="4"/>
        </w:numPr>
        <w:spacing w:before="120" w:after="60"/>
        <w:jc w:val="left"/>
        <w:rPr>
          <w:rFonts w:ascii="Arial" w:hAnsi="Arial" w:cs="Arial"/>
          <w:sz w:val="20"/>
          <w:szCs w:val="20"/>
        </w:rPr>
      </w:pPr>
      <w:r>
        <w:rPr>
          <w:rFonts w:ascii="Arial" w:hAnsi="Arial" w:cs="Arial" w:eastAsia="Arial"/>
          <w:color w:val="auto"/>
          <w:sz w:val="20"/>
          <w:szCs w:val="20"/>
          <w:lang w:val="ro-RO"/>
        </w:rPr>
        <w:t xml:space="preserve">În cazul în care persoanele numite pe funcții cu atribuții în domeniul securității și sănătății în muncă (personalul de conducere al locurilor de muncă menționat mai sus) se schimbă, persoanele nou numite vor lua cunoștință de prezenta decizie prin semnarea procesului-verbal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ascii="Arial" w:hAnsi="Arial" w:cs="Arial" w:eastAsia="Arial"/>
          <w:color w:val="auto"/>
          <w:sz w:val="20"/>
          <w:szCs w:val="20"/>
          <w:lang w:val="ro-RO"/>
        </w:rPr>
        <w:t xml:space="preserve">Prezența salariaților la instruire este obligatorie și va fi asigurată de conducerea unității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