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LISTA CU SITUAȚIA MIJLOACELOR DE APĂRARE ÎMPOTRIVA INCENDIILOR</w:t>
      </w:r>
    </w:p>
    <w:p>
      <w:pPr>
        <w:pStyle w:val="Normal"/>
        <w:keepNext w:val="fals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1. Lista dotării cu mijloace de primă intervenție pentru stingerea incendiilor a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{{name}}, {{activity}}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205"/>
        <w:gridCol w:w="2040"/>
        <w:gridCol w:w="2042"/>
      </w:tblGrid>
      <w:tr>
        <w:trPr/>
        <w:tc>
          <w:tcPr>
            <w:tcW w:w="10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Aria utilă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{{floorAreaM2}} m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vertAlign w:val="superscript"/>
                <w:lang w:val="ro-RO"/>
              </w:rPr>
              <w:t>2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Norma de dotare (OMAI 163/2007, anexa 6)</w:t>
            </w:r>
          </w:p>
        </w:tc>
        <w:tc>
          <w:tcPr>
            <w:tcW w:w="408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{{normLabel}}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Mijloc de primă intervenție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U/M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Cantitate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{{#extinguishers}}Stingător {{code}} – {{agentLabel}}, {{capacityLabel}}{{#wheeled}}, carosabil{{/wheeled}}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{{count}}{{/extinguishers}}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{{#otherEquipment}}{{kindLabel}}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{{count}}{{/otherEquipment}}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Total stingătoare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{{extinguisherCount}}</w:t>
            </w:r>
          </w:p>
        </w:tc>
      </w:tr>
    </w:tbl>
    <w:p>
      <w:pPr>
        <w:pStyle w:val="Normal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NUMĂR ORIENTATIV DE STINGĂTOARE PORTATIVE PENTRU UNELE CATEGORII DE CONSTRUCȚII (OMAI 163/2007, anexa 6)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565"/>
        <w:gridCol w:w="2722"/>
      </w:tblGrid>
      <w:tr>
        <w:trPr>
          <w:tblHeader w:val="true"/>
        </w:trPr>
        <w:tc>
          <w:tcPr>
            <w:tcW w:w="1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Categorii de construcții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Număr minim de stingătoare*)/suprafață desfășurată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Clădiri administrative: sedii ale administrației publice centrale și locale; sedii de fundații, organizații neguvernamentale, asociații, agenții și altele asemenea; sedii de birouri.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vertAlign w:val="superscript"/>
                <w:lang w:val="ro-RO"/>
              </w:rPr>
              <w:t>2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Clădiri comerciale: comerț alimentar și nealimentar; magazine generale; alimentație publică (restaurante, braserii și altele asemenea); spații și încăperi destinate serviciilor.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buc./200 m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vertAlign w:val="superscript"/>
                <w:lang w:val="ro-RO"/>
              </w:rPr>
              <w:t>2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Clădiri de locuit (cu caracter de recomandare): blocuri; locuințe unifamiliale.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buc./nivel/apartament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Clădiri civile cu funcțiuni mixte (comerț, birouri, reuniuni).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vertAlign w:val="superscript"/>
                <w:lang w:val="ro-RO"/>
              </w:rPr>
              <w:t>2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Alte amenajări: circuri mobile; scene și tribune amenajate provizoriu în aer liber (pentru spectacole, mitinguri, competiții sportive etc.); studiouri de radio, televiziune, îndeosebi cu public.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buc./150 m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vertAlign w:val="superscript"/>
                <w:lang w:val="ro-RO"/>
              </w:rPr>
              <w:t>2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*) Performanța de stingere echivalentă cu focarele 21 A și 113 B, conform standardului european de referință.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{{#fire.hasExteriorHydrants}}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2. Lista dotării cu accesorii pentru trecerea apei a hidranților exteriori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5"/>
        <w:gridCol w:w="3732"/>
        <w:gridCol w:w="747"/>
        <w:gridCol w:w="1066"/>
        <w:gridCol w:w="1066"/>
        <w:gridCol w:w="1067"/>
        <w:gridCol w:w="1066"/>
        <w:gridCol w:w="1066"/>
        <w:gridCol w:w="1065"/>
        <w:gridCol w:w="1068"/>
        <w:gridCol w:w="1599"/>
      </w:tblGrid>
      <w:tr>
        <w:trPr/>
        <w:tc>
          <w:tcPr>
            <w:tcW w:w="7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37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Denumirea accesoriului</w:t>
            </w:r>
          </w:p>
        </w:tc>
        <w:tc>
          <w:tcPr>
            <w:tcW w:w="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U/M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Norma pentru un hidrant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Număr de hidranți</w:t>
            </w:r>
          </w:p>
        </w:tc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dotări hidranți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Rezerva conform normelor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de aprovizionat</w:t>
            </w:r>
          </w:p>
        </w:tc>
        <w:tc>
          <w:tcPr>
            <w:tcW w:w="2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 păstrează la: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/>
        <w:tc>
          <w:tcPr>
            <w:tcW w:w="7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7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Hidranți</w:t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Remiza PSI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racord tip „A, B, C”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Feșe pentru furtun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Țevi de refulare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Hidrant portativ tip „A” sau „B” cu 2 robinete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pentru hidrant și mufe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Racorduri pentru furtun tip „B” cu garnituri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Furtun de refulare cauciucat tip „B”, în role de 20 m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40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12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{{/fire.hasExteriorHydrants}}</w:t>
      </w:r>
    </w:p>
    <w:p>
      <w:pPr>
        <w:pStyle w:val="Normal"/>
        <w:widowControl/>
        <w:bidi w:val="0"/>
        <w:spacing w:before="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Cadru tehnic PSI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7285"/>
        <w:tab w:val="clear" w:pos="14570"/>
        <w:tab w:val="center" w:pos="7143" w:leader="none"/>
        <w:tab w:val="right" w:pos="14287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726</Words>
  <Characters>5809</Characters>
  <CharactersWithSpaces>6291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2026-10-10T15:37:31Z</dcterms:modified>
  <cp:revision>1</cp:revision>
  <dc:subject/>
  <dc:title/>
</cp:coreProperties>
</file>