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Acest principiu de evaluare a riscurilor este inclus deja în standardele europene (CEI 812/1985,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Obligativitatea evaluării riscurilor la locurile de muncă în țara noastră decurge din legislația actuală în domeniu, care a fost armonizată cu legislația Uniunii Europene privind sănătatea și securitatea în muncă. În Legea 319/2006 a securității și sănătății în muncă se prevede la art. 7 alin.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evalueze riscurile pentru securitatea și sănătatea lucrătorilor, inclusiv la alegerea echipamentelor de muncă, a substanțelor sau preparatelor chimice utilizate și la amenajarea locurilor de muncă” iar la art. 12 alin.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Normele metodologice de aplicare a Legii 319/2006 la art. 15 alin.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Îndeplinirea efectivă a acestei obligații legale se realizează de către personalul din cadrul serviciului de securitate a muncii, cu sprijinul instituțiilor de specialitate sau al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facilitarea îndeplinirii obligațiilor legale ale angajatorilor în domeniul evaluării riscurilor de accidentare și îmbolnăvire profesională au fost concepute și sunt utilizate în prezent un număr relativ mare de metode de evaluare 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s-au luat în calcul evenimentele de muncă produse în cadrul societății până la data de {{issueDate}}, ponderea evenimentelor de muncă ce au avut loc în societate, specifică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CEI 812/1985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analoage,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Probabilitatea de a acționa într-o anumită manieră generatoare de accident nu poate fi decât aproximată. În alte situații, calculul necesitat de determinarea riguroasă a probabilității de producere a consecinței este atât de 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acest motiv, dacă utilizăm intervalele precizate în CEI 812/1985, obținem 6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prin cele două puncte astfel stabilite o curbă având alura curbei de acceptabilitate stabilită prin CEI 812/1985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(1,2) (1,3) (1,4) (1,5) (1,6) (2,1);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(2,3) (2,4) (3,1) (3,2) (4,1);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(2,6) (3,3) (3,4) (4,2) (5,1) (6,1) (7,1);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(3,6) (4,3) (4,4) (5,2) (5,3) (6,2) (7,2);</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(4,6) (5,4) (5,5) (6,3) (7,3);</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(6,4) (6,5) (7,4);</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(7,5) (7,6).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 xml:space="preserve">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 xml:space="preserve">frecvența de producere: o dată la 5 –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keepNext/>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(capitolul V, punctul III al fiecărei evaluări).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g</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 xml:space="preserve">Luând în considerare că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analiză sistematică cuprinde, pe lângă etapele propriu-zise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abrazive;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Leziuni ale organelor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Cataractă</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Conjunctivite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 xml:space="preserve">consecințe reversibile cu o incapacitate de muncă previzibilă între 45 – 180 zile care necesită tratament medical și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 xml:space="preserve">Legea nr. 319/2006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xml:space="preserve">/2006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privind aprobarea Normelor Metodologice de aplicare a Legii nr. 319/2006.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 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III. FIȘA DE EVALUARE A RISCURILOR DE ACCIDENTARE ȘI/SAU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Însușirea și respectarea normelor de protecție a muncii și a măsurilor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adecvată, câte 2 - 4 litri/ persoană/ schimb); perioada rece (ceai fierbinte, în cantitate de 0,5 - 1 litru/ persoană/ schimb);</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Evaluarea riscurilor se revizuiește, împreună cu planul de prevenire și protecție care decurge din ea, ori de câte ori intervin modificări ale condițiilor de muncă, respectiv la apariția unor riscuri noi și în urma producerii unui eveniment (art. 15 alin. (3) și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