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keepNext w:val="false"/>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jc w:val="left"/>
        <w:rPr>
          <w:rFonts w:ascii="Arial" w:hAnsi="Arial" w:cs="Arial"/>
          <w:sz w:val="20"/>
          <w:szCs w:val="20"/>
        </w:rPr>
      </w:pPr>
      <w:r>
        <w:rPr>
          <w:rFonts w:eastAsia="Arial" w:cs="Arial" w:ascii="Arial" w:hAnsi="Arial"/>
          <w:color w:val="auto"/>
          <w:spacing w:val="0"/>
          <w:w w:val="100"/>
          <w:sz w:val="20"/>
          <w:szCs w:val="20"/>
          <w:lang w:val="ro-RO"/>
        </w:rPr>
        <w:t>În baza prevederilor legale în domeniul securității și sănătății în muncă din Legea 319/ 2006 Art. 8, alin. (1), alin. (4), și din H.G. 1425/ 2006 Art. 14, Art. 15, alin. (1), punctul 4, Art. 20, alin. (1), Art. 85, Art. 89 alin. (1), Art. 91, alin. (1), Art. 94, Art. 96, alin. (1) și alin. (4), {{client.representativeName}} în calitate de</w:t>
      </w:r>
      <w:r>
        <w:rPr>
          <w:rFonts w:eastAsia="Arial" w:cs="Arial" w:ascii="Arial" w:hAnsi="Arial"/>
          <w:color w:val="auto"/>
          <w:spacing w:val="0"/>
          <w:w w:val="100"/>
          <w:sz w:val="20"/>
          <w:szCs w:val="20"/>
          <w:lang w:val="ro-RO"/>
        </w:rPr>
        <w:t xml:space="preserve"> {{client.representativeRole}}</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Efectuarea instruirilor în domeniul securității și sănătății în muncă la personalul angajat al {{cl</w:t>
      </w:r>
      <w:r>
        <w:rPr>
          <w:rStyle w:val="PageNumber"/>
          <w:rFonts w:eastAsia="Arial" w:cs="Arial" w:ascii="Arial" w:hAnsi="Arial"/>
          <w:color w:val="auto"/>
          <w:spacing w:val="0"/>
          <w:w w:val="100"/>
          <w:sz w:val="20"/>
          <w:szCs w:val="20"/>
          <w:lang w:val="ro-RO"/>
        </w:rPr>
        <w:t>ient.legalName}}</w:t>
      </w:r>
      <w:r>
        <w:rPr>
          <w:rFonts w:eastAsia="Arial" w:cs="Arial" w:ascii="Arial" w:hAnsi="Arial"/>
          <w:color w:val="auto"/>
          <w:spacing w:val="0"/>
          <w:w w:val="100"/>
          <w:sz w:val="20"/>
          <w:szCs w:val="20"/>
          <w:lang w:val="ro-RO"/>
        </w:rPr>
        <w:t>, se va realiza astfel:</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 xml:space="preserve">Personalul din cadrul serviciului extern de prevenire și protecție {{provider.legalName}} va efectua instruirea introductiv-generală la angajații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Personalul din cadrul serviciului extern de prevenire și protecție {{provider.legalName}} va efectua instruirea la locul de muncă și instruirea periodică pentru personalul de conducere al locurilor de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{{#workplaceManagers}</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{{name}}, având </w:t>
      </w:r>
      <w:r>
        <w:rPr>
          <w:rFonts w:eastAsia="Arial" w:cs="Arial" w:ascii="Arial" w:hAnsi="Arial"/>
          <w:color w:val="auto"/>
          <w:spacing w:val="0"/>
          <w:w w:val="100"/>
          <w:sz w:val="20"/>
          <w:szCs w:val="20"/>
          <w:lang w:val="ro-RO"/>
        </w:rPr>
        <w:t>funcția de {{jobT</w:t>
      </w:r>
      <w:r>
        <w:rPr>
          <w:rFonts w:eastAsia="Arial" w:cs="Arial" w:ascii="Arial" w:hAnsi="Arial"/>
          <w:color w:val="auto"/>
          <w:spacing w:val="0"/>
          <w:w w:val="100"/>
          <w:sz w:val="20"/>
          <w:szCs w:val="20"/>
          <w:lang w:val="ro-RO"/>
        </w:rPr>
        <w:t>itle}} în cadrul societății; {{/workplaceManagers}}</w:t>
      </w:r>
    </w:p>
    <w:p>
      <w:pPr>
        <w:pStyle w:val="Normal"/>
        <w:widowControl/>
        <w:numPr>
          <w:ilvl w:val="1"/>
          <w:numId w:val="9"/>
        </w:numPr>
        <w:spacing w:before="0" w:after="120"/>
        <w:jc w:val="left"/>
        <w:rPr>
          <w:rFonts w:ascii="Arial" w:hAnsi="Arial" w:cs="Arial"/>
          <w:b/>
          <w:sz w:val="20"/>
          <w:szCs w:val="20"/>
        </w:rPr>
      </w:pPr>
      <w:r>
        <w:rPr>
          <w:rFonts w:eastAsia="Arial" w:cs="Arial" w:ascii="Arial" w:hAnsi="Arial"/>
          <w:color w:val="auto"/>
          <w:spacing w:val="0"/>
          <w:w w:val="100"/>
          <w:sz w:val="20"/>
          <w:szCs w:val="20"/>
          <w:lang w:val="ro-RO"/>
        </w:rPr>
        <w:t>Personalul de conducere al locurilor de muncă – {{workplaceManagersText}} – va efectua instruirea la locul de muncă și instruirea periodică pentru întreg personalul din cadrul {{client.legalName}}.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Instruirea în domeniul securității și sănătății în muncă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se va executa astfel:</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introductiv-generală</w:t>
      </w:r>
      <w:r>
        <w:rPr>
          <w:rStyle w:val="tpa1"/>
          <w:rFonts w:eastAsia="Arial" w:cs="Arial" w:ascii="Arial" w:hAnsi="Arial"/>
          <w:color w:val="auto"/>
          <w:spacing w:val="0"/>
          <w:w w:val="100"/>
          <w:sz w:val="20"/>
          <w:szCs w:val="20"/>
          <w:lang w:val="ro-RO"/>
        </w:rPr>
        <w:t>:</w:t>
      </w:r>
    </w:p>
    <w:p>
      <w:pPr>
        <w:pStyle w:val="Normal"/>
        <w:widowControl/>
        <w:numPr>
          <w:ilvl w:val="0"/>
          <w:numId w:val="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Conf. H.G. 767/ 2016 - Durata instruirii introductiv-generale nu va fi mai mică de 4 ore;</w:t>
      </w:r>
    </w:p>
    <w:p>
      <w:pPr>
        <w:pStyle w:val="Normal"/>
        <w:keepNext/>
        <w:widowControl/>
        <w:numPr>
          <w:ilvl w:val="0"/>
          <w:numId w:val="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bookmarkStart w:id="0" w:name="do|caV|si2|ar83|lia"/>
      <w:bookmarkEnd w:id="0"/>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bookmarkStart w:id="1" w:name="do|caV|si2|ar83|lib"/>
      <w:bookmarkEnd w:id="1"/>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bookmarkStart w:id="2" w:name="do|caV|si2|ar83|lic"/>
      <w:bookmarkEnd w:id="2"/>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pa1"/>
          <w:rFonts w:ascii="Arial" w:hAnsi="Arial" w:cs="Arial"/>
          <w:sz w:val="20"/>
          <w:szCs w:val="20"/>
        </w:rPr>
      </w:pPr>
      <w:bookmarkStart w:id="3" w:name="do|caV|si2|ar83|lid"/>
      <w:bookmarkEnd w:id="3"/>
      <w:r>
        <w:rPr>
          <w:rStyle w:val="tli1"/>
          <w:rFonts w:eastAsia="Arial" w:cs="Arial" w:ascii="Arial" w:hAnsi="Arial"/>
          <w:color w:val="auto"/>
          <w:spacing w:val="0"/>
          <w:w w:val="100"/>
          <w:sz w:val="20"/>
          <w:szCs w:val="20"/>
          <w:lang w:val="ro-RO"/>
        </w:rPr>
        <w:t>lucrătorului pus la dispoziție de către un agent de muncă temporar.</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al1"/>
          <w:rFonts w:eastAsia="Arial" w:cs="Arial" w:ascii="Arial" w:hAnsi="Arial"/>
          <w:b/>
          <w:color w:val="auto"/>
          <w:spacing w:val="0"/>
          <w:w w:val="100"/>
          <w:sz w:val="20"/>
          <w:szCs w:val="20"/>
          <w:lang w:val="ro-RO"/>
        </w:rPr>
        <w:t>la locul de muncă</w:t>
      </w:r>
      <w:r>
        <w:rPr>
          <w:rStyle w:val="tpa1"/>
          <w:rFonts w:eastAsia="Arial" w:cs="Arial" w:ascii="Arial" w:hAnsi="Arial"/>
          <w:color w:val="auto"/>
          <w:spacing w:val="0"/>
          <w:w w:val="100"/>
          <w:sz w:val="20"/>
          <w:szCs w:val="20"/>
          <w:lang w:val="ro-RO"/>
        </w:rPr>
        <w:t>:</w:t>
      </w:r>
    </w:p>
    <w:p>
      <w:pPr>
        <w:pStyle w:val="Normal"/>
        <w:widowControl/>
        <w:numPr>
          <w:ilvl w:val="0"/>
          <w:numId w:val="11"/>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Conf. H.G. 767/ 2016 pct.4 - Durata instruirii la locul de muncă nu va fi mai mică de 4 ore;</w:t>
      </w:r>
    </w:p>
    <w:p>
      <w:pPr>
        <w:pStyle w:val="Normal"/>
        <w:keepNext/>
        <w:widowControl/>
        <w:numPr>
          <w:ilvl w:val="0"/>
          <w:numId w:val="11"/>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1"/>
        </w:numPr>
        <w:spacing w:before="0" w:after="40"/>
        <w:jc w:val="left"/>
        <w:rPr>
          <w:rStyle w:val="tpa1"/>
          <w:rFonts w:ascii="Arial" w:hAnsi="Arial" w:cs="Arial"/>
          <w:sz w:val="20"/>
          <w:szCs w:val="20"/>
        </w:rPr>
      </w:pPr>
      <w:bookmarkStart w:id="4" w:name="do|caV|si3|ar90|al2"/>
      <w:bookmarkEnd w:id="4"/>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Normal"/>
        <w:keepNext/>
        <w:widowControl/>
        <w:numPr>
          <w:ilvl w:val="0"/>
          <w:numId w:val="10"/>
        </w:numPr>
        <w:spacing w:before="0" w:after="4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periodică</w:t>
      </w:r>
      <w:r>
        <w:rPr>
          <w:rStyle w:val="tpa1"/>
          <w:rFonts w:eastAsia="Arial" w:cs="Arial" w:ascii="Arial" w:hAnsi="Arial"/>
          <w:color w:val="auto"/>
          <w:spacing w:val="0"/>
          <w:w w:val="100"/>
          <w:sz w:val="20"/>
          <w:szCs w:val="20"/>
          <w:lang w:val="ro-RO"/>
        </w:rPr>
        <w:t>:</w:t>
      </w:r>
    </w:p>
    <w:p>
      <w:pPr>
        <w:pStyle w:val="Normal"/>
        <w:widowControl/>
        <w:numPr>
          <w:ilvl w:val="0"/>
          <w:numId w:val="13"/>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Se face tuturor lucrătorilor prevăzuți la art. 83 </w:t>
      </w:r>
      <w:r>
        <w:rPr>
          <w:rFonts w:eastAsia="Arial" w:cs="Arial" w:ascii="Arial" w:hAnsi="Arial"/>
          <w:i/>
          <w:color w:val="auto"/>
          <w:spacing w:val="0"/>
          <w:w w:val="100"/>
          <w:sz w:val="20"/>
          <w:szCs w:val="20"/>
          <w:lang w:val="ro-RO"/>
        </w:rPr>
        <w:t xml:space="preserve">din H.G. 1425/ 2006 </w:t>
      </w:r>
      <w:r>
        <w:rPr>
          <w:rStyle w:val="tpa1"/>
          <w:rFonts w:eastAsia="Arial" w:cs="Arial" w:ascii="Arial" w:hAnsi="Arial"/>
          <w:color w:val="auto"/>
          <w:spacing w:val="0"/>
          <w:w w:val="100"/>
          <w:sz w:val="20"/>
          <w:szCs w:val="20"/>
          <w:lang w:val="ro-RO"/>
        </w:rPr>
        <w:t>și are drept scop reîmprospătarea și actualizarea cunoștințelor în domeniul securității și sănătății în muncă.</w:t>
      </w:r>
    </w:p>
    <w:p>
      <w:pPr>
        <w:pStyle w:val="Normal"/>
        <w:widowControl/>
        <w:numPr>
          <w:ilvl w:val="0"/>
          <w:numId w:val="1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Conf. H.G. 767/ 2016, pct. 6) În cadrul {{client.legalName}}, </w:t>
      </w:r>
      <w:r>
        <w:rPr>
          <w:rStyle w:val="spar"/>
          <w:rFonts w:eastAsia="Arial" w:cs="Arial" w:ascii="Arial" w:hAnsi="Arial"/>
          <w:color w:val="auto"/>
          <w:spacing w:val="0"/>
          <w:w w:val="100"/>
          <w:sz w:val="20"/>
          <w:szCs w:val="20"/>
          <w:shd w:fill="FFFFFF" w:val="clear"/>
          <w:lang w:val="ro-RO"/>
        </w:rPr>
        <w:t>durata instruirii periodice</w:t>
      </w:r>
      <w:r>
        <w:rPr>
          <w:rFonts w:eastAsia="Arial" w:cs="Arial" w:ascii="Arial" w:hAnsi="Arial"/>
          <w:color w:val="auto"/>
          <w:spacing w:val="0"/>
          <w:w w:val="100"/>
          <w:sz w:val="20"/>
          <w:szCs w:val="20"/>
          <w:lang w:val="ro-RO"/>
        </w:rPr>
        <w:t xml:space="preserve"> va fi de </w:t>
      </w:r>
      <w:r>
        <w:rPr>
          <w:rFonts w:eastAsia="Arial" w:cs="Arial" w:ascii="Arial" w:hAnsi="Arial"/>
          <w:b/>
          <w:color w:val="auto"/>
          <w:spacing w:val="0"/>
          <w:w w:val="100"/>
          <w:sz w:val="20"/>
          <w:szCs w:val="20"/>
          <w:lang w:val="ro-RO"/>
        </w:rPr>
        <w:t>{{training.periodicDuration}}</w:t>
      </w:r>
      <w:r>
        <w:rPr>
          <w:rFonts w:eastAsia="Arial" w:cs="Arial" w:ascii="Arial" w:hAnsi="Arial"/>
          <w:color w:val="auto"/>
          <w:spacing w:val="0"/>
          <w:w w:val="100"/>
          <w:sz w:val="20"/>
          <w:szCs w:val="20"/>
          <w:lang w:val="ro-RO"/>
        </w:rPr>
        <w:t>;</w:t>
      </w:r>
    </w:p>
    <w:p>
      <w:pPr>
        <w:pStyle w:val="Normal"/>
        <w:widowControl/>
        <w:numPr>
          <w:ilvl w:val="0"/>
          <w:numId w:val="1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Având în vedere specificul activităților desfășurate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conform prevederilor din </w:t>
      </w:r>
      <w:r>
        <w:rPr>
          <w:rFonts w:eastAsia="Arial" w:cs="Arial" w:ascii="Arial" w:hAnsi="Arial"/>
          <w:i/>
          <w:color w:val="auto"/>
          <w:spacing w:val="0"/>
          <w:w w:val="100"/>
          <w:sz w:val="20"/>
          <w:szCs w:val="20"/>
          <w:lang w:val="ro-RO"/>
        </w:rPr>
        <w:t>HG 1425/2006, Art. 96, alin (2)</w:t>
      </w:r>
      <w:r>
        <w:rPr>
          <w:rFonts w:eastAsia="Arial" w:cs="Arial" w:ascii="Arial" w:hAnsi="Arial"/>
          <w:color w:val="auto"/>
          <w:spacing w:val="0"/>
          <w:w w:val="100"/>
          <w:sz w:val="20"/>
          <w:szCs w:val="20"/>
          <w:lang w:val="ro-RO"/>
        </w:rPr>
        <w:t xml:space="preserve"> stabilesc {{training.intervalPhrase}} pentru efectuarea instructajelor periodice:</w:t>
      </w:r>
    </w:p>
    <w:p>
      <w:r>
        <w:t>{{#training.administrative}}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 xml:space="preserve">personalul tehnic-administrativ</w:t>
      </w:r>
      <w:r>
        <w:rPr>
          <w:rFonts w:eastAsia="Arial" w:cs="Arial" w:ascii="Arial" w:hAnsi="Arial"/>
          <w:color w:val="auto"/>
          <w:spacing w:val="0"/>
          <w:w w:val="100"/>
          <w:sz w:val="20"/>
          <w:szCs w:val="20"/>
          <w:lang w:val="ro-RO"/>
        </w:rPr>
        <w:t xml:space="preserve"> și șefii de locuri de muncă vor fi instruiți </w:t>
      </w:r>
      <w:r>
        <w:rPr>
          <w:rFonts w:eastAsia="Arial" w:cs="Arial" w:ascii="Arial" w:hAnsi="Arial"/>
          <w:b/>
          <w:bCs/>
          <w:color w:val="auto"/>
          <w:spacing w:val="0"/>
          <w:w w:val="100"/>
          <w:sz w:val="20"/>
          <w:szCs w:val="20"/>
          <w:lang w:val="ro-RO"/>
        </w:rPr>
        <w:t>{{training.administrativeFrequency}}</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respectiv în</w:t>
      </w:r>
      <w:r>
        <w:rPr>
          <w:rFonts w:eastAsia="Arial" w:cs="Arial" w:ascii="Arial" w:hAnsi="Arial"/>
          <w:b/>
          <w:color w:val="auto"/>
          <w:spacing w:val="0"/>
          <w:w w:val="100"/>
          <w:sz w:val="20"/>
          <w:szCs w:val="20"/>
          <w:lang w:val="ro-RO"/>
        </w:rPr>
        <w:t xml:space="preserve"> {{training</w:t>
      </w:r>
      <w:r>
        <w:rPr>
          <w:rFonts w:eastAsia="Arial" w:cs="Arial" w:ascii="Arial" w:hAnsi="Arial"/>
          <w:b/>
          <w:bCs/>
          <w:color w:val="auto"/>
          <w:spacing w:val="0"/>
          <w:w w:val="100"/>
          <w:sz w:val="20"/>
          <w:szCs w:val="20"/>
          <w:lang w:val="ro-RO"/>
        </w:rPr>
        <w:t xml:space="preserve">.administrativeMonths}},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r>
        <w:t>{{/training.administrative}}</w:t>
      </w:r>
    </w:p>
    <w:p>
      <w:r>
        <w:t>{{#training.worker}}</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personalul de execuție</w:t>
      </w:r>
      <w:r>
        <w:rPr>
          <w:rFonts w:eastAsia="Arial" w:cs="Arial" w:ascii="Arial" w:hAnsi="Arial"/>
          <w:color w:val="auto"/>
          <w:spacing w:val="0"/>
          <w:w w:val="100"/>
          <w:sz w:val="20"/>
          <w:szCs w:val="20"/>
          <w:lang w:val="ro-RO"/>
        </w:rPr>
        <w:t xml:space="preserve"> va fi instruit </w:t>
      </w:r>
      <w:r>
        <w:rPr>
          <w:rFonts w:eastAsia="Arial" w:cs="Arial" w:ascii="Arial" w:hAnsi="Arial"/>
          <w:b/>
          <w:bCs/>
          <w:color w:val="auto"/>
          <w:spacing w:val="0"/>
          <w:w w:val="100"/>
          <w:sz w:val="20"/>
          <w:szCs w:val="20"/>
          <w:lang w:val="ro-RO"/>
        </w:rPr>
        <w:t>{{training.workerFrequency}}</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respectiv în</w:t>
      </w:r>
      <w:r>
        <w:rPr>
          <w:rFonts w:eastAsia="Arial" w:cs="Arial" w:ascii="Arial" w:hAnsi="Arial"/>
          <w:b/>
          <w:color w:val="auto"/>
          <w:spacing w:val="0"/>
          <w:w w:val="100"/>
          <w:sz w:val="20"/>
          <w:szCs w:val="20"/>
          <w:lang w:val="ro-RO"/>
        </w:rPr>
        <w:t xml:space="preserve"> {{training.w</w:t>
      </w:r>
      <w:r>
        <w:rPr>
          <w:rFonts w:eastAsia="Arial" w:cs="Arial" w:ascii="Arial" w:hAnsi="Arial"/>
          <w:b/>
          <w:bCs/>
          <w:color w:val="auto"/>
          <w:spacing w:val="0"/>
          <w:w w:val="100"/>
          <w:sz w:val="20"/>
          <w:szCs w:val="20"/>
          <w:lang w:val="ro-RO"/>
        </w:rPr>
        <w:t xml:space="preserve">orkerMonths}},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r>
        <w:t>{{/training.worker}}</w:t>
      </w:r>
    </w:p>
    <w:p>
      <w:pPr>
        <w:pStyle w:val="Normal"/>
        <w:widowControl/>
        <w:numPr>
          <w:ilvl w:val="0"/>
          <w:numId w:val="10"/>
        </w:numPr>
        <w:spacing w:before="0" w:after="120"/>
        <w:jc w:val="left"/>
        <w:rPr>
          <w:rStyle w:val="tpa1"/>
          <w:rFonts w:ascii="Arial" w:hAnsi="Arial" w:cs="Arial"/>
          <w:sz w:val="20"/>
          <w:szCs w:val="20"/>
        </w:rPr>
      </w:pPr>
      <w:r>
        <w:rPr>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nstruirea</w:t>
      </w:r>
      <w:r>
        <w:rPr>
          <w:rStyle w:val="tpa1"/>
          <w:rFonts w:eastAsia="Arial" w:cs="Arial" w:ascii="Arial" w:hAnsi="Arial"/>
          <w:b/>
          <w:color w:val="auto"/>
          <w:spacing w:val="0"/>
          <w:w w:val="100"/>
          <w:sz w:val="20"/>
          <w:szCs w:val="20"/>
          <w:lang w:val="ro-RO"/>
        </w:rPr>
        <w:t xml:space="preserve"> periodică se face suplimentar </w:t>
      </w:r>
      <w:r>
        <w:rPr>
          <w:rStyle w:val="tpa1"/>
          <w:rFonts w:eastAsia="Arial" w:cs="Arial" w:ascii="Arial" w:hAnsi="Arial"/>
          <w:color w:val="auto"/>
          <w:spacing w:val="0"/>
          <w:w w:val="100"/>
          <w:sz w:val="20"/>
          <w:szCs w:val="20"/>
          <w:lang w:val="ro-RO"/>
        </w:rPr>
        <w:t>celei programate în următoarele cazuri:</w:t>
      </w:r>
    </w:p>
    <w:p>
      <w:pPr>
        <w:pStyle w:val="Normal"/>
        <w:widowControl/>
        <w:spacing w:before="0" w:after="40"/>
        <w:ind w:left="720" w:right="0"/>
        <w:jc w:val="left"/>
        <w:rPr>
          <w:rFonts w:ascii="Arial" w:hAnsi="Arial" w:cs="Arial"/>
          <w:sz w:val="20"/>
          <w:szCs w:val="20"/>
        </w:rPr>
      </w:pPr>
      <w:r>
        <w:rPr>
          <w:rFonts w:eastAsia="Arial" w:cs="Arial" w:ascii="Arial" w:hAnsi="Arial"/>
          <w:i/>
          <w:color w:val="auto"/>
          <w:spacing w:val="0"/>
          <w:w w:val="100"/>
          <w:sz w:val="20"/>
          <w:szCs w:val="20"/>
          <w:lang w:val="ro-RO"/>
        </w:rPr>
        <w:t>(Preluare din H.G. 1425/ 2006 – Art. 98)</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activitățile specifice ale locului de muncă și/ sau postului de lucru sau ale instrucțiunilor proprii, inclusiv datorită evoluției riscurilor sau apariției de noi riscuri în unitate;</w:t>
      </w:r>
    </w:p>
    <w:p>
      <w:pPr>
        <w:pStyle w:val="Normal"/>
        <w:widowControl/>
        <w:numPr>
          <w:ilvl w:val="0"/>
          <w:numId w:val="7"/>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12"/>
        </w:numPr>
        <w:spacing w:before="0" w:after="120"/>
        <w:ind w:right="0"/>
        <w:jc w:val="left"/>
        <w:rPr>
          <w:rStyle w:val="spar"/>
          <w:rFonts w:ascii="Arial" w:hAnsi="Arial" w:cs="Arial"/>
          <w:i/>
          <w:sz w:val="20"/>
          <w:szCs w:val="20"/>
        </w:rPr>
      </w:pPr>
      <w:r>
        <w:rPr>
          <w:rFonts w:eastAsia="Arial" w:cs="Arial" w:ascii="Arial" w:hAnsi="Arial"/>
          <w:i/>
          <w:color w:val="auto"/>
          <w:spacing w:val="0"/>
          <w:w w:val="100"/>
          <w:sz w:val="20"/>
          <w:szCs w:val="20"/>
          <w:lang w:val="ro-RO"/>
        </w:rPr>
        <w:t>(Preluare din H.G. 1425/ 2006 – Instruirea lucrătorilor – Art. 99 – conf. H.G. 767/ 2016, pct. 6)</w:t>
      </w:r>
      <w:r>
        <w:rPr>
          <w:rFonts w:eastAsia="Arial" w:cs="Arial" w:ascii="Arial" w:hAnsi="Arial"/>
          <w:color w:val="auto"/>
          <w:spacing w:val="0"/>
          <w:w w:val="100"/>
          <w:sz w:val="20"/>
          <w:szCs w:val="20"/>
          <w:lang w:val="ro-RO"/>
        </w:rPr>
        <w:t xml:space="preserve"> În cadrul {{client.legalName}}, </w:t>
      </w:r>
      <w:r>
        <w:rPr>
          <w:rStyle w:val="spar"/>
          <w:rFonts w:eastAsia="Arial" w:cs="Arial" w:ascii="Arial" w:hAnsi="Arial"/>
          <w:color w:val="auto"/>
          <w:spacing w:val="0"/>
          <w:w w:val="100"/>
          <w:sz w:val="20"/>
          <w:szCs w:val="20"/>
          <w:shd w:fill="FFFFFF" w:val="clear"/>
          <w:lang w:val="ro-RO"/>
        </w:rPr>
        <w:t>durata instruirii periodice prevăzute la art. 98 se stabilește de către angajator, împreună cu:</w:t>
      </w:r>
    </w:p>
    <w:p>
      <w:pPr>
        <w:pStyle w:val="Heading1"/>
        <w:keepNext/>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conducătorul locului de muncă respectiv,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lucrătorul desemnat,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intern de prevenire și protecție,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extern de prevenire și protecție.</w:t>
      </w:r>
    </w:p>
    <w:p>
      <w:pPr>
        <w:pStyle w:val="Heading1"/>
        <w:widowControl/>
        <w:spacing w:before="80" w:after="120"/>
        <w:ind w:left="1080" w:right="0" w:hanging="0"/>
        <w:jc w:val="left"/>
        <w:rPr>
          <w:rStyle w:val="tpa1"/>
          <w:rFonts w:ascii="Arial" w:hAnsi="Arial" w:cs="Arial"/>
          <w:sz w:val="20"/>
          <w:szCs w:val="20"/>
          <w:shd w:fill="FFFFFF" w:val="clear"/>
        </w:rPr>
      </w:pPr>
      <w:r>
        <w:rPr>
          <w:rFonts w:eastAsia="Arial" w:cs="Arial" w:ascii="Arial" w:hAnsi="Arial"/>
          <w:color w:val="auto"/>
          <w:spacing w:val="0"/>
          <w:w w:val="100"/>
          <w:sz w:val="20"/>
          <w:szCs w:val="20"/>
          <w:lang w:val="ro-RO"/>
        </w:rPr>
        <w:t xml:space="preserve">Durata instruirii suplimentare va fi de </w:t>
      </w:r>
      <w:r>
        <w:rPr>
          <w:rFonts w:eastAsia="Arial" w:cs="Arial" w:ascii="Arial" w:hAnsi="Arial"/>
          <w:b/>
          <w:color w:val="auto"/>
          <w:spacing w:val="0"/>
          <w:w w:val="100"/>
          <w:sz w:val="20"/>
          <w:szCs w:val="20"/>
          <w:lang w:val="ro-RO"/>
        </w:rPr>
        <w:t>4 ore</w:t>
      </w:r>
      <w:r>
        <w:rPr>
          <w:rFonts w:eastAsia="Arial" w:cs="Arial" w:ascii="Arial" w:hAnsi="Arial"/>
          <w:color w:val="auto"/>
          <w:spacing w:val="0"/>
          <w:w w:val="100"/>
          <w:sz w:val="20"/>
          <w:szCs w:val="20"/>
          <w:lang w:val="ro-RO"/>
        </w:rPr>
        <w:t>.</w:t>
      </w:r>
    </w:p>
    <w:p>
      <w:pPr>
        <w:pStyle w:val="Heading1"/>
        <w:widowControl/>
        <w:numPr>
          <w:ilvl w:val="0"/>
          <w:numId w:val="12"/>
        </w:numPr>
        <w:spacing w:before="0" w:after="120"/>
        <w:ind w:right="0"/>
        <w:jc w:val="left"/>
        <w:rPr>
          <w:rFonts w:ascii="Arial" w:hAnsi="Arial" w:cs="Arial"/>
          <w:i/>
          <w:sz w:val="20"/>
          <w:szCs w:val="20"/>
        </w:rPr>
      </w:pPr>
      <w:r>
        <w:rPr>
          <w:rFonts w:eastAsia="Arial" w:cs="Arial" w:ascii="Arial" w:hAnsi="Arial"/>
          <w:i/>
          <w:color w:val="auto"/>
          <w:spacing w:val="0"/>
          <w:w w:val="100"/>
          <w:sz w:val="20"/>
          <w:szCs w:val="20"/>
          <w:lang w:val="ro-RO"/>
        </w:rPr>
        <w:t>(Preluare din H.G. 1425/ 2006 –Art. 100)</w:t>
      </w:r>
      <w:r>
        <w:rPr>
          <w:rFonts w:eastAsia="Arial" w:cs="Arial" w:ascii="Arial" w:hAnsi="Arial"/>
          <w:color w:val="auto"/>
          <w:spacing w:val="0"/>
          <w:w w:val="100"/>
          <w:sz w:val="20"/>
          <w:szCs w:val="20"/>
          <w:lang w:val="ro-RO"/>
        </w:rPr>
        <w:t xml:space="preserve"> În cadrul {{client.legalName}}, i</w:t>
      </w:r>
      <w:r>
        <w:rPr>
          <w:rStyle w:val="tpa1"/>
          <w:rFonts w:eastAsia="Arial" w:cs="Arial" w:ascii="Arial" w:hAnsi="Arial"/>
          <w:color w:val="auto"/>
          <w:spacing w:val="0"/>
          <w:w w:val="100"/>
          <w:sz w:val="20"/>
          <w:szCs w:val="20"/>
          <w:lang w:val="ro-RO"/>
        </w:rPr>
        <w:t xml:space="preserve">nstruirea periodică suplimentară se va efectua pe baza tematicilor </w:t>
      </w:r>
      <w:r>
        <w:rPr>
          <w:rStyle w:val="tal1"/>
          <w:rFonts w:eastAsia="Arial" w:cs="Arial" w:ascii="Arial" w:hAnsi="Arial"/>
          <w:color w:val="auto"/>
          <w:spacing w:val="0"/>
          <w:w w:val="100"/>
          <w:sz w:val="20"/>
          <w:szCs w:val="20"/>
          <w:lang w:val="ro-RO"/>
        </w:rPr>
        <w:t>întocmite de către serviciul extern de prevenire și protecție – {{provider.legalName}} și aprobate de către angajator</w:t>
      </w:r>
      <w:r>
        <w:rPr>
          <w:rStyle w:val="tpa1"/>
          <w:rFonts w:eastAsia="Arial" w:cs="Arial" w:ascii="Arial" w:hAnsi="Arial"/>
          <w:color w:val="auto"/>
          <w:spacing w:val="0"/>
          <w:w w:val="100"/>
          <w:sz w:val="20"/>
          <w:szCs w:val="20"/>
          <w:lang w:val="ro-RO"/>
        </w:rPr>
        <w:t xml:space="preserve"> care vor fi păstrate la persoana care efectuează instruirea. Instruirea suplimentară va cuprinde atât tematica de la instruirea introductiv-generală cât și tematica de la instruirea de la locul de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Verificarea cunoștințelor angajaților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se va face pe bază de teste, de către serviciul extern de prevenire și protecție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Style w:val="PageNumber"/>
          <w:rFonts w:ascii="Arial" w:hAnsi="Arial" w:cs="Arial"/>
          <w:sz w:val="20"/>
          <w:szCs w:val="20"/>
        </w:rPr>
      </w:pPr>
      <w:r>
        <w:rPr>
          <w:rFonts w:eastAsia="Arial" w:cs="Arial" w:ascii="Arial" w:hAnsi="Arial"/>
          <w:color w:val="auto"/>
          <w:spacing w:val="0"/>
          <w:w w:val="100"/>
          <w:sz w:val="20"/>
          <w:szCs w:val="20"/>
          <w:lang w:val="ro-RO"/>
        </w:rPr>
        <w:t>Verificarea efectuării instruirii periodice, însușirea cunoștințelor și modul de respectare a prevederilor legislative, regulilor, instrucțiunilor, deciziilor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selectiv și/ sau cumulat de către angajator, având parte de consultanță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În cazul în care persoanele numite pe funcții cu atribuții în domeniul securității și sănătății în muncă (personalul de conducere al locurilor de muncă menționat mai sus) se schimbă, noii angajați vor lua la cunoștință despre prezenta decizie prin semnarea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procesului verbal de luare la cunoștință și de primire a unui exemplar al prezentei decizii.</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Prezența salariaților la instructaj este obligatorie și va fi asigurată de conducerea societății și/ sau de șeful locului de muncă (după caz).</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anulează orice decizie anterioară cu privire la persoanele responsabile cu efectuarea instruirilor în domeniul securității și sănătății în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se comunică persoanelor desemnate și tuturor celor cu sarcini în domeniul securității și sănătății în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fr-FR"/>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lang w:val="fr-FR"/>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mnată confirmă că a luat cunoștință de prezenta decizie și se obligă să respecte întocmai obligațiile, atribuțiile și răspunderile ce reies din decizia Nr. {{decisionNumber}} SSM din </w:t>
      </w:r>
      <w:r>
        <w:rPr>
          <w:rFonts w:eastAsia="Arial" w:cs="Arial" w:ascii="Arial" w:hAnsi="Arial"/>
          <w:color w:val="auto"/>
          <w:spacing w:val="0"/>
          <w:w w:val="100"/>
          <w:sz w:val="20"/>
          <w:szCs w:val="20"/>
          <w:lang w:val="ro-RO"/>
        </w:rPr>
        <w:t>{{issueDate}}.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{{#workplaceManagers}}{{name}}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{{issueDate}}{{/workplaceManagers}}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lang w:val="it-CH"/>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7"/>
      <w:numFmt w:val="bullet"/>
      <w:lvlText w:val="-"/>
      <w:lvlJc w:val="left"/>
      <w:pPr>
        <w:tabs>
          <w:tab w:val="num" w:pos="1800"/>
        </w:tabs>
        <w:ind w:left="1800" w:hanging="360"/>
      </w:pPr>
      <w:rPr>
        <w:rFonts w:ascii="Times New Roman" w:hAnsi="Times New Roman" w:cs="Times New Roman" w:hint="default"/>
        <w:b w:val="false"/>
        <w:i w:val="false"/>
        <w:sz w:val="22"/>
        <w:szCs w:val="22"/>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65535"/>
      <w:numFmt w:val="bullet"/>
      <w:lvlText w:val="-"/>
      <w:lvlJc w:val="left"/>
      <w:pPr>
        <w:tabs>
          <w:tab w:val="num" w:pos="1800"/>
        </w:tabs>
        <w:ind w:left="1800" w:hanging="360"/>
      </w:pPr>
      <w:rPr>
        <w:rFonts w:ascii="Times New Roman" w:hAnsi="Times New Roman" w:cs="Times New Roman" w:hint="default"/>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7"/>
      <w:numFmt w:val="bullet"/>
      <w:lvlText w:val="-"/>
      <w:lvlJc w:val="left"/>
      <w:pPr>
        <w:tabs>
          <w:tab w:val="num" w:pos="1080"/>
        </w:tabs>
        <w:ind w:left="1080" w:hanging="360"/>
      </w:pPr>
      <w:rPr>
        <w:rFonts w:ascii="Times New Roman" w:hAnsi="Times New Roman" w:cs="Times New Roman" w:hint="default"/>
        <w:b w:val="false"/>
        <w:i w:val="false"/>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Art. %1."/>
      <w:lvlJc w:val="left"/>
      <w:pPr>
        <w:tabs>
          <w:tab w:val="num" w:pos="1080"/>
        </w:tabs>
        <w:ind w:left="0" w:hanging="0"/>
      </w:pPr>
      <w:rPr>
        <w:rFonts w:ascii="Arial" w:hAnsi="Arial" w:cs="Arial"/>
        <w:b/>
        <w:i w:val="false"/>
        <w:sz w:val="18"/>
        <w:szCs w:val="18"/>
        <w:lang w:val="it-CH"/>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65535"/>
      <w:numFmt w:val="bullet"/>
      <w:lvlText w:val="-"/>
      <w:lvlJc w:val="left"/>
      <w:pPr>
        <w:tabs>
          <w:tab w:val="num" w:pos="1800"/>
        </w:tabs>
        <w:ind w:left="1800" w:hanging="360"/>
      </w:pPr>
      <w:rPr>
        <w:rFonts w:ascii="Times New Roman" w:hAnsi="Times New Roman" w:cs="Times New Roman" w:hint="default"/>
        <w:b/>
        <w:i w:val="false"/>
        <w:sz w:val="18"/>
        <w:szCs w:val="18"/>
        <w:lang w:val="it-CH"/>
      </w:rPr>
    </w:lvl>
    <w:lvl w:ilvl="3">
      <w:start w:val="1"/>
      <w:numFmt w:val="decimal"/>
      <w:lvlText w:val="%4."/>
      <w:lvlJc w:val="left"/>
      <w:pPr>
        <w:tabs>
          <w:tab w:val="num" w:pos="360"/>
        </w:tabs>
        <w:ind w:left="360" w:hanging="360"/>
      </w:pPr>
      <w:rPr>
        <w:b/>
        <w:i w:val="false"/>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1080"/>
        </w:tabs>
        <w:ind w:left="1080" w:hanging="360"/>
      </w:pPr>
      <w:rPr>
        <w:b/>
        <w:i w:val="fals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sz w:val="18"/>
      <w:szCs w:val="18"/>
      <w:lang w:val="it-CH"/>
    </w:rPr>
  </w:style>
  <w:style w:type="character" w:styleId="WW8Num11z1">
    <w:name w:val="WW8Num11z1"/>
    <w:rPr>
      <w:rFonts w:ascii="Arial" w:hAnsi="Arial" w:cs="Arial"/>
      <w:b/>
      <w:i w:val="false"/>
      <w:sz w:val="20"/>
      <w:szCs w:val="20"/>
      <w:lang w:val="es-ES_tradnl"/>
    </w:rPr>
  </w:style>
  <w:style w:type="character" w:styleId="WW8Num11z2">
    <w:name w:val="WW8Num11z2"/>
    <w:rPr>
      <w:rFonts w:ascii="Times New Roman" w:hAnsi="Times New Roman" w:cs="Times New Roman"/>
      <w:b/>
      <w:i w:val="false"/>
      <w:sz w:val="18"/>
      <w:szCs w:val="18"/>
      <w:lang w:val="it-CH"/>
    </w:rPr>
  </w:style>
  <w:style w:type="character" w:styleId="WW8Num11z3">
    <w:name w:val="WW8Num11z3"/>
    <w:rPr>
      <w:b/>
      <w:i w:val="false"/>
      <w:sz w:val="18"/>
      <w:szCs w:val="18"/>
      <w:lang w:val="it-CH"/>
    </w:rPr>
  </w:style>
  <w:style w:type="character" w:styleId="WW8Num11z4">
    <w:name w:val="WW8Num11z4"/>
    <w:rPr>
      <w:b/>
    </w:rPr>
  </w:style>
  <w:style w:type="character" w:styleId="WW8Num11z5">
    <w:name w:val="WW8Num11z5"/>
    <w:rPr>
      <w:b/>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rPr>
  </w:style>
  <w:style w:type="character" w:styleId="spar">
    <w:name w:val="s_par"/>
    <w:basedOn w:val="DefaultParagraphFont"/>
    <w:rPr/>
  </w:style>
  <w:style w:type="character" w:styleId="slitbdy">
    <w:name w:val="s_lit_bdy"/>
    <w:basedOn w:val="DefaultParagraphFont"/>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ages>3</Pages>
  <Words>1094</Words>
  <Characters>6855</Characters>
  <CharactersWithSpaces>7829</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dc:language>en-US</dc:language>
  <cp:lastModifiedBy/>
  <cp:lastPrinted>2024-03-04T15:54:00Z</cp:lastPrinted>
  <dcterms:modified xsi:type="dcterms:W3CDTF">2026-09-19T01:20:52Z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