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Conform Legii 319/ 2006 – Legea securității și sănătății în muncă, </w:t>
      </w:r>
      <w:r>
        <w:rPr>
          <w:rFonts w:eastAsia="Arial" w:cs="Arial" w:ascii="Arial" w:hAnsi="Arial"/>
          <w:b/>
          <w:bCs/>
          <w:color w:val="auto"/>
          <w:spacing w:val="0"/>
          <w:w w:val="100"/>
          <w:sz w:val="20"/>
          <w:szCs w:val="20"/>
          <w:lang w:val="ro-RO"/>
        </w:rPr>
        <w:t>«</w:t>
      </w:r>
      <w:r>
        <w:rPr>
          <w:rFonts w:eastAsia="Arial" w:cs="Arial" w:ascii="Arial" w:hAnsi="Arial"/>
          <w:bCs/>
          <w:color w:val="auto"/>
          <w:spacing w:val="0"/>
          <w:w w:val="100"/>
          <w:sz w:val="20"/>
          <w:szCs w:val="20"/>
          <w:lang w:val="ro-RO"/>
        </w:rPr>
        <w:t xml:space="preserve"> Art. 12. alin. (1)</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Angajatorul trebuie: </w:t>
      </w:r>
      <w:r>
        <w:rPr>
          <w:rFonts w:eastAsia="Arial" w:cs="Arial" w:ascii="Arial" w:hAnsi="Arial"/>
          <w:bCs/>
          <w:color w:val="auto"/>
          <w:spacing w:val="0"/>
          <w:w w:val="100"/>
          <w:sz w:val="20"/>
          <w:szCs w:val="20"/>
          <w:lang w:val="ro-RO"/>
        </w:rPr>
        <w:t>b)</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decidă asupra măsurilor de protecție care trebuie luate și, după caz, asupra echipamentului de protecție care trebuie utilizat; </w:t>
      </w:r>
      <w:r>
        <w:rPr>
          <w:rFonts w:eastAsia="Arial" w:cs="Arial" w:ascii="Arial" w:hAnsi="Arial"/>
          <w:b/>
          <w:bCs/>
          <w:color w:val="auto"/>
          <w:spacing w:val="0"/>
          <w:w w:val="100"/>
          <w:sz w:val="20"/>
          <w:szCs w:val="20"/>
          <w:lang w:val="ro-RO"/>
        </w:rPr>
        <w:t>»</w:t>
      </w:r>
    </w:p>
    <w:p>
      <w:pPr>
        <w:pStyle w:val="Normal"/>
        <w:widowControl/>
        <w:spacing w:before="0" w:after="120"/>
        <w:ind w:hanging="0" w:right="0"/>
        <w:jc w:val="left"/>
        <w:rPr>
          <w:rFonts w:ascii="Arial" w:hAnsi="Arial" w:cs="Arial"/>
          <w:b/>
          <w:bCs/>
          <w:sz w:val="20"/>
          <w:szCs w:val="20"/>
          <w:lang w:val="ro-RO"/>
        </w:rPr>
      </w:pPr>
      <w:r>
        <w:rPr>
          <w:rStyle w:val="ar1"/>
          <w:rFonts w:eastAsia="Arial" w:cs="Arial" w:ascii="Arial" w:hAnsi="Arial"/>
          <w:b w:val="false"/>
          <w:color w:val="auto"/>
          <w:spacing w:val="0"/>
          <w:w w:val="100"/>
          <w:sz w:val="20"/>
          <w:szCs w:val="20"/>
          <w:lang w:val="ro-RO"/>
        </w:rPr>
        <w:t>Pentru a aduce la îndeplinire cerințele legii 319/ 2006 și cerințele H.G. 1425/ 2006, Art. 15.</w:t>
      </w:r>
      <w:r>
        <w:rPr>
          <w:rStyle w:val="al1"/>
          <w:rFonts w:eastAsia="Arial" w:cs="Arial" w:ascii="Arial" w:hAnsi="Arial"/>
          <w:b w:val="false"/>
          <w:color w:val="auto"/>
          <w:spacing w:val="0"/>
          <w:w w:val="100"/>
          <w:sz w:val="20"/>
          <w:szCs w:val="20"/>
          <w:lang w:val="ro-RO"/>
        </w:rPr>
        <w:t xml:space="preserve"> alin, (1) </w:t>
      </w:r>
      <w:r>
        <w:rPr>
          <w:rFonts w:eastAsia="Arial" w:cs="Arial" w:ascii="Arial" w:hAnsi="Arial"/>
          <w:color w:val="auto"/>
          <w:spacing w:val="0"/>
          <w:w w:val="100"/>
          <w:sz w:val="20"/>
          <w:szCs w:val="20"/>
          <w:lang w:val="ro-RO"/>
        </w:rPr>
        <w:t>punctul</w:t>
      </w:r>
      <w:r>
        <w:rPr>
          <w:rFonts w:eastAsia="Arial" w:cs="Arial" w:ascii="Arial" w:hAnsi="Arial"/>
          <w:b/>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20: </w:t>
      </w:r>
      <w:r>
        <w:rPr>
          <w:rStyle w:val="tal1"/>
          <w:rFonts w:eastAsia="Arial" w:cs="Arial" w:ascii="Arial" w:hAnsi="Arial"/>
          <w:color w:val="auto"/>
          <w:spacing w:val="0"/>
          <w:w w:val="100"/>
          <w:sz w:val="20"/>
          <w:szCs w:val="20"/>
          <w:lang w:val="ro-RO"/>
        </w:rPr>
        <w:t>Activitățile de prevenire și protecție desfășurate prin modalitățile prevăzute la art. 14 în cadrul unității sunt următoarele:</w:t>
      </w:r>
      <w:bookmarkStart w:id="0" w:name="do|caIII|si2|ar15|al1|pt20"/>
      <w:r>
        <w:rPr>
          <w:rFonts w:eastAsia="Arial" w:cs="Arial" w:ascii="Arial" w:hAnsi="Arial"/>
          <w:b/>
          <w:color w:val="auto"/>
          <w:spacing w:val="0"/>
          <w:w w:val="100"/>
          <w:sz w:val="20"/>
          <w:szCs w:val="20"/>
          <w:lang w:val="ro-RO"/>
        </w:rPr>
        <w:t xml:space="preserve"> </w:t>
      </w:r>
      <w:bookmarkEnd w:id="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H.G. </w:t>
      </w:r>
      <w:r>
        <w:rPr>
          <w:rFonts w:eastAsia="Arial" w:cs="Arial" w:ascii="Arial" w:hAnsi="Arial"/>
          <w:b w:val="false"/>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700"/>
        <w:gridCol w:w="2800"/>
        <w:gridCol w:w="3970"/>
        <w:gridCol w:w="1885"/>
      </w:tblGrid>
      <w:tr>
        <w:trPr>
          <w:tblHeader w:val="true"/>
        </w:trPr>
        <w:tc>
          <w:tcPr>
            <w:tcW w:w="70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80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39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1885"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cantSplit/>
        </w:trPr>
        <w:tc>
          <w:tcPr>
            <w:tcW w:w="70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80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397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1885"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keepNext/>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keepNext/>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Hotărârea 1048/09.08.2006 stabilește cerințele minime referitoare la echipamentul individual de protecție utilizat de lucrători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Prevederile Legii securității și sănătății în muncă nr. 319/2006 se aplică în totalitate domeniului menționat la art. 1, fără a aduce atingere dispozițiilor mai restrictive și/sau specifice cuprinse în prezenta hotărâre.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Sunt excluse din definiția cuprinsă la Art. 3:</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îmbrăcămintea de lucru și uniformele obișnuite care nu sunt proiectate în mod special pentru a proteja securitatea și sănătatea lucrătorului;</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folosit de serviciile de urgență și salvare;</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echipamentul individual de protecție purtat sau folosit de armată, poliție ori de alte instituții de ordine publică;</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pentru mijloace de transport rutier;</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sportiv;</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de autoapărare sau de descurajare;</w:t>
      </w:r>
    </w:p>
    <w:p>
      <w:pPr>
        <w:pStyle w:val="Normal"/>
        <w:widowControl/>
        <w:numPr>
          <w:ilvl w:val="0"/>
          <w:numId w:val="31"/>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dispozitivele purtabile pentru detectarea și semnalizarea riscurilor și factorilor nocivi.</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Obligațiile angajatorilor</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trebuie să respecte prevederile Hotărârii Guvernului nr. 115/2004 privind stabilirea cerințelor esențiale de securitate ale echipamentelor individuale de protecție și a condițiilor pentru introducerea lor pe piață, cu modificările ulterioare.</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Orice echipament individual de protecție trebuie să îndeplinească următoarele condiții:</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fie corespunzător pentru riscurile implicate, fără să conducă el însuși la un risc mărit;</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corespundă condițiilor existente la locul de muncă;</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ia în considerare cerințele ergonomice și starea sănătății lucrătorului;</w:t>
      </w:r>
    </w:p>
    <w:p>
      <w:pPr>
        <w:pStyle w:val="Normal"/>
        <w:widowControl/>
        <w:numPr>
          <w:ilvl w:val="0"/>
          <w:numId w:val="2"/>
        </w:numPr>
        <w:spacing w:before="0" w:after="120"/>
        <w:ind w:right="0"/>
        <w:jc w:val="left"/>
        <w:rPr>
          <w:rFonts w:ascii="Arial" w:hAnsi="Arial" w:cs="Arial"/>
          <w:sz w:val="20"/>
          <w:szCs w:val="20"/>
        </w:rPr>
      </w:pPr>
      <w:r>
        <w:rPr>
          <w:rFonts w:eastAsia="Arial" w:cs="Arial" w:ascii="Arial" w:hAnsi="Arial"/>
          <w:color w:val="auto"/>
          <w:spacing w:val="0"/>
          <w:w w:val="100"/>
          <w:sz w:val="20"/>
          <w:szCs w:val="20"/>
          <w:lang w:val="ro-RO"/>
        </w:rPr>
        <w:t xml:space="preserve">să se potrivească în mod corect persoanei care îl poartă, după toate ajustările necesare.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În cazul în care prezența unor riscuri multiple impune purtarea simultană a mai multor echipamente individuale de protecție, aceste echipamente trebuie să fie compatibile și să își păstreze eficacitatea în raport cu riscul/riscurile respectiv/respective.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este, în principiu, destinat purtării de către o singură persoană.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30"/>
        </w:numPr>
        <w:tabs>
          <w:tab w:val="clear" w:pos="720"/>
          <w:tab w:val="left" w:pos="900" w:leader="none"/>
          <w:tab w:val="left" w:pos="1080" w:leader="none"/>
          <w:tab w:val="left" w:pos="1170" w:leader="none"/>
          <w:tab w:val="left" w:pos="126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În cadrul întreprinderii și/sau unității trebuie să se furnizeze și să fie disponibile informații adecvate privind fiecare echipament individual de protecție impus în conformitate cu art. 5 și 6.</w:t>
      </w:r>
    </w:p>
    <w:p>
      <w:pPr>
        <w:pStyle w:val="Normal"/>
        <w:widowControl/>
        <w:numPr>
          <w:ilvl w:val="0"/>
          <w:numId w:val="30"/>
        </w:numPr>
        <w:tabs>
          <w:tab w:val="clear" w:pos="720"/>
          <w:tab w:val="left" w:pos="900" w:leader="none"/>
          <w:tab w:val="left" w:pos="117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se distribuie gratuit de angajator, care asigură buna sa funcționare și o stare de igienă satisfăcătoare prin intermediul întreținerii, reparării și înlocuirilor necesare.</w:t>
      </w:r>
    </w:p>
    <w:p>
      <w:pPr>
        <w:pStyle w:val="Normal"/>
        <w:widowControl/>
        <w:tabs>
          <w:tab w:val="clear" w:pos="720"/>
          <w:tab w:val="left" w:pos="900" w:leader="none"/>
          <w:tab w:val="left" w:pos="1350" w:leader="none"/>
        </w:tabs>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Ministerul Muncii, Solidarității Sociale și Familiei poate stabili dispoziții pe baza cărora să se impună ca lucrătorul să contribuie la costul unui anumit echipament individual de protecție, în situațiile în care utilizarea echipamentului nu este exclusiv pentru locul de muncă.</w:t>
      </w:r>
    </w:p>
    <w:p>
      <w:pPr>
        <w:pStyle w:val="Normal"/>
        <w:widowControl/>
        <w:numPr>
          <w:ilvl w:val="0"/>
          <w:numId w:val="30"/>
        </w:numPr>
        <w:tabs>
          <w:tab w:val="clear" w:pos="720"/>
          <w:tab w:val="left" w:pos="900" w:leader="none"/>
          <w:tab w:val="left" w:pos="99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informează mai întâi lucrătorul despre riscurile împotriva cărora îl protejează purtarea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asigură instruirea lucrătorului și, dacă este cazul, organizează antrenamente pentru modul de purtare 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poate fi utilizat numai în scopurile specificate și în conformitate cu fișa de instrucțiuni, cu excepția împrejurărilor specifice și excepționale.</w:t>
      </w:r>
    </w:p>
    <w:p>
      <w:pPr>
        <w:pStyle w:val="Normal"/>
        <w:widowControl/>
        <w:spacing w:before="0" w:after="12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Instrucțiunile trebuie să fie pe înțelesul lucrătorilor.</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Evaluarea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Înainte de a alege echipamentul individual de protecție, angajatorul trebuie să evalueze dacă echipamentul individual de protecție pe care intenționează să îl folosească îndeplinește cerințele prevăzute la art. 6 și 7.</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Această evaluare cuprinde: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și evaluarea riscurilor care nu pot fi evitate prin alte mijloace;</w:t>
      </w:r>
    </w:p>
    <w:p>
      <w:pPr>
        <w:pStyle w:val="Normal"/>
        <w:widowControl/>
        <w:numPr>
          <w:ilvl w:val="0"/>
          <w:numId w:val="29"/>
        </w:numPr>
        <w:spacing w:before="0" w:after="40"/>
        <w:ind w:right="288"/>
        <w:jc w:val="left"/>
        <w:rPr>
          <w:rFonts w:ascii="Arial" w:hAnsi="Arial" w:cs="Arial"/>
          <w:sz w:val="20"/>
          <w:szCs w:val="20"/>
        </w:rPr>
      </w:pPr>
      <w:r>
        <w:rPr>
          <w:rFonts w:eastAsia="Arial" w:cs="Arial" w:ascii="Arial" w:hAnsi="Arial"/>
          <w:color w:val="auto"/>
          <w:spacing w:val="0"/>
          <w:w w:val="100"/>
          <w:sz w:val="20"/>
          <w:szCs w:val="20"/>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29"/>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compararea caracteristicilor echipamentului individual de protecție disponibil cu caracteristicile prevăzute la lit. b).</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Evaluarea prevăzută la art. 15 este revizuită în funcție de modificările aduse oricărui element al echipamentului individual de protecție.</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Reguli de utilizare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Fără a aduce atingere prevederilor art. 6-16, Ministerul Muncii, Solidarității Sociale și Familiei stabilește reguli generale pentru utilizarea echipamentului individual de protecție și/sau reguli care reglementează cazurile și situațiile în care angajatorul trebuie să furnizeze echipamentul individual de protecție, luând în considerare reglementările tehnice române care transpun legislația comunitară privind libera circulație a acestui echipament.</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Aceste reguli indică, în special, împrejurările sau situațiile de risc în care este necesară utilizarea echipamentului individual de protecție, fără a aduce atingere priorității care trebuie să se acorde mijloacelor de protecție colectivă.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(3) Anexele nr. 1-3 au un caracter orientativ, conțin informații utile pentru stabilirea acestor reguli.</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Atunci când Ministerul Muncii, Solidarității Sociale și Familiei adaptează regulile prevăzute la art. 17, acesta ia în considerare orice modificări semnificative ale riscului, mijloacelor de protecție colectivă și echipamentelor individuale de protecție, determinate de evoluțiile tehnologice.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Ministerul Muncii, Solidarității Sociale și Familiei consultă organizațiile angajatorilor și lucrătorilor cu privire la regulile prevăzute la art. 17 și 18.</w:t>
      </w:r>
    </w:p>
    <w:p>
      <w:pPr>
        <w:pStyle w:val="Normal"/>
        <w:keepNext/>
        <w:widowControl/>
        <w:tabs>
          <w:tab w:val="clear" w:pos="720"/>
          <w:tab w:val="left" w:pos="6300"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Informarea, consultarea și participarea lucrătorilor</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Fără a aduce atingere prevederilor art. 16 din Legea securității și sănătății în muncă nr. 319/2006, lucrătorii și/sau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Consultarea și participarea lucrătorilor și/sau a reprezentanților acestora cu privire la problemele la care se face referire în acest document, inclusiv în anexele acestuia, se desfășoară în conformitate cu prevederile art. 18 din Legea nr. 319/2006.</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1</w:t>
      </w:r>
      <w:r>
        <w:br/>
      </w:r>
      <w:r>
        <w:rPr>
          <w:rFonts w:eastAsia="Arial" w:cs="Arial" w:ascii="Arial" w:hAnsi="Arial"/>
          <w:b/>
          <w:bCs/>
          <w:color w:val="auto"/>
          <w:spacing w:val="0"/>
          <w:w w:val="100"/>
          <w:sz w:val="20"/>
          <w:szCs w:val="20"/>
          <w:lang w:val="ro-RO"/>
        </w:rPr>
        <w:t>Riscuri care pot genera accidente de muncă și boli profesionale: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Căderi de la înălțime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Lovituri, tăieturi, impact, strivire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Înțepături, tăieturi, zgârieturi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Vibrații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Alunecare, cădere la același nivel</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Căldură, foc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Frig</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Pulberi, fibre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Fum</w:t>
      </w:r>
    </w:p>
    <w:p>
      <w:pPr>
        <w:pStyle w:val="Normal"/>
        <w:keepNext/>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Intemperii:</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Ceață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Ploaie</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Vânt</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Zăpadă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Gheață (polei)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Împroșcare, stropire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Ciuperci generatoare de micoze</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Antigeni biologici nemicrobieni</w:t>
      </w:r>
    </w:p>
    <w:p>
      <w:pPr>
        <w:pStyle w:val="Normal"/>
        <w:keepNext/>
        <w:widowControl/>
        <w:tabs>
          <w:tab w:val="clear" w:pos="720"/>
          <w:tab w:val="left" w:pos="1845" w:leader="none"/>
        </w:tabs>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2</w:t>
      </w:r>
      <w:r>
        <w:br/>
      </w:r>
      <w:r>
        <w:rPr>
          <w:rFonts w:eastAsia="Arial" w:cs="Arial" w:ascii="Arial" w:hAnsi="Arial"/>
          <w:b/>
          <w:bCs/>
          <w:color w:val="auto"/>
          <w:spacing w:val="0"/>
          <w:w w:val="100"/>
          <w:sz w:val="20"/>
          <w:szCs w:val="20"/>
          <w:lang w:val="ro-RO"/>
        </w:rPr>
        <w:t>Lista orientativă și neexhaustivă a E.I.P.</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de protecție pentru utilizare în industrie (mine, șantiere de lucrări publice, alte ramuri industriale);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acoperământ ușor pentru protecția scalpului (caschete, bonete, plase de păr, cu sau fără cozoroc);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pentru cap (bonete, caschete, pălării etc. din material textil, material textil tratat etc.).</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împotriva zgomotului:</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interne și alte dispozitive similare;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antifonice (care acoperă tot capul);</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care pot fi montate pe căști de protecție industriale;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antifoane externe cu receptor de joasă frecvență incorporat;</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cu comunicare audio.</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și a feței:</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 cu brațe;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 împotriva radiațiilor X, ochelari-mască împotriva radiațiilor laser, ochelari-mască împotriva radiațiilor ultraviolete, infraroșii, vizibile;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ecrane faciale (viziere);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măști și căști pentru sudură cu arc (măști de mână, măști cu fixare pe cap sau măști care pot fi montate pe căști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filtrante împotriva pulberilor, gazelor și pulberilor radioactive;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izolante cu aducție de aer;</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aparate de protecție respiratorie cu mască de sudură detașabilă;</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Protecția mâinii și brațului:</w:t>
      </w:r>
    </w:p>
    <w:p>
      <w:pPr>
        <w:pStyle w:val="Normal"/>
        <w:keepNext/>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care asigură protecție: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agresiunilor mecanice (înțepături, tăieturi, vibrații etc.);</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substanțelor chimice;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electricieni și împotriva căldurii;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cu un deget;</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degetare;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mânecuțe;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manșetă de protecție a încheieturii mâinii pentru munci grele;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mitene (mănuși fără degete);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 și a gambelor: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pantofi, bocanci, cizme semiînalte și cizme de securitate;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la care se pot scoate rapid șireturile sau cârligele;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cu bombeu suplimentar de protecție;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încălțăminte și supraîncălțări cu tălpi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termoizolante;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împotriva vibrațiilor;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antistatice;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electroizolante;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cizme pentru lucrătorii cu ferăstraie cu lanț;</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saboți;</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genunchiere;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glezniere detașabile;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ghetre;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tălpi detașabile (rezistente la căldură, perforare sau transpirație);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crampoane detașabile pentru gheață, zăpadă sau podele alunecoase.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0"/>
          <w:numId w:val="2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creme de protecție/unguente.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trunchiului și a abdomenului:</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agresiunilor mecanice (înțepare, tăiere, stropi de metal topit etc.);</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substanțelor chimice;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cu sistem de încălzire;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de salvare;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șorturi de protecție împotriva radiațiilor X;</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centuri lomboabdominale.</w:t>
      </w:r>
    </w:p>
    <w:p>
      <w:pPr>
        <w:pStyle w:val="Normal"/>
        <w:keepNext/>
        <w:widowControl/>
        <w:numPr>
          <w:ilvl w:val="0"/>
          <w:numId w:val="2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Protecția întregului corp</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Echipament proiectat pentru a preveni căderile: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prevenire a căderilor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frânare cu absorbire a energiei cinetice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dispozitive de susținere a corpului (centuri de securitate).</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Îmbrăcăminte de protecție: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pentru lucru "de securitate" (două piese și combinezoane);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agresiunilor mecanice (înțepare, tăiere etc.);</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substanțelor chimice;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proiecțiilor de metal topit și a radiațiilor infraroșii;</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îmbrăcăminte de protecție rezistentă la căldură;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termoizolantă;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contaminării radioactive;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pulberilor;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gazelor;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și accesorii (banderole, mănuși etc.) de semnalizare fluorescente, reflectorizante;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paturi de protecție.</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3</w:t>
      </w:r>
      <w:r>
        <w:br/>
      </w:r>
      <w:r>
        <w:rPr>
          <w:rFonts w:eastAsia="Arial" w:cs="Arial" w:ascii="Arial" w:hAnsi="Arial"/>
          <w:b/>
          <w:bCs/>
          <w:color w:val="auto"/>
          <w:spacing w:val="0"/>
          <w:w w:val="100"/>
          <w:sz w:val="20"/>
          <w:szCs w:val="20"/>
          <w:lang w:val="ro-RO"/>
        </w:rPr>
        <w:t>Lista orientativă și neexhaustivă a activităților și sectoarelor de activitate care pot necesita utilizarea de echipament individual de protecție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 (protecția craniului)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Căști de protecție: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special activitate pe, sub sau în apropierea schelelor și locurilor de muncă la înălțime, la operații de montare și demontare a cofrajelor, de asamblare și instalare, activitate desfășurată pe schele și de demolări;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fose, șanțuri, puțuri și galerii;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terasamente și lucrări în piatră;</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vecinătatea lifturilor, dispozitivelor de ridicare, macaralelor și a transportoarelor;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cuptoare industriale, containere, mașini, silozuri, buncăre și conducte;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civile și rutiere;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demolare;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beton și plăci prefabricate, care presupun montarea și demontarea cofrajelor;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șantiere și în spații de depozitare;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fără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construcția de cuptoare, instalații de încălzire și ventilare și lucrări de asamblare de metale;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transformare și întreținere;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cariere și în exploatări de suprafață și halde;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extracția și prelucrarea pietrei;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manipulare a formelor în industria ceramicii;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turnare în industria produselor ceramice și a materialelor de construcții;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transport și depozitare;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toc sau talpă ortopedică și inserție antiperforație: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tălpi termoizolante: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pe materiale foarte fierbinți sau foarte reci.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care se poate dezechipa ușor: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acolo unde există riscul penetrării de substanțe incandescente.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sau a feței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Ochelari de protecție, viziere și ecrane faciale: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 polizare și debitare;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găurire și gravare;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tăiere și prelucrare a pietrei;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utilizarea de mașini a căror funcționare se bazează pe îndepărtarea șpanului în cazul prelucrării de materiale care produc șpan;</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pulverizarea de substanțe abrazive;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soluții acide și alcaline, dezinfectanți și produse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dispozitive cu jet lichid;</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în apropierea materialelor incandescente;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căldură radiantă;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laser.</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Semimăști/Aparate de protecție respiratorie: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containere, spații înguste și cuptoare industriale alimentate cu gaz, în cazul în care poate exista riscul intoxicării cu gaz sau cantitatea de oxigen este insuficientă;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vopsirea prin pulverizare fără ventilație corespunzătoare;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canale și alte spații subterane ale sistemului de canalizare;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auzului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Antifoane: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prese de metale;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dispozitive pneumatice;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industria lemnului și textilă.</w:t>
      </w:r>
    </w:p>
    <w:p>
      <w:pPr>
        <w:pStyle w:val="Normal"/>
        <w:keepNext/>
        <w:widowControl/>
        <w:numPr>
          <w:ilvl w:val="0"/>
          <w:numId w:val="16"/>
        </w:numPr>
        <w:spacing w:before="0" w:after="120"/>
        <w:jc w:val="left"/>
        <w:rPr>
          <w:rFonts w:ascii="Arial" w:hAnsi="Arial" w:cs="Arial"/>
          <w:sz w:val="20"/>
          <w:szCs w:val="20"/>
        </w:rPr>
      </w:pPr>
      <w:r>
        <w:rPr>
          <w:rFonts w:eastAsia="Arial" w:cs="Arial" w:ascii="Arial" w:hAnsi="Arial"/>
          <w:b/>
          <w:bCs/>
          <w:color w:val="auto"/>
          <w:spacing w:val="0"/>
          <w:w w:val="100"/>
          <w:sz w:val="20"/>
          <w:szCs w:val="20"/>
          <w:lang w:val="ro-RO"/>
        </w:rPr>
        <w:t xml:space="preserve">Protecția corpului, brațelor și mâinilor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acizi și soluții caustice, dezinfectanți și substanțe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sau în apropierea materialelor fierbinți și acolo unde se simt efectele căldurii;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sablare;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greu inflamabilă: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sudură în spații înguste.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rezistente la perforație: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cuțite de mână care implică îndreptarea cuțitului spre corp.</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din piele: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manipularea de obiecte cu muchii ascuțite, dar nu la utilizarea mașinilor care prezintă riscul ca mănușa să fie prinsă;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neprotejate cu acizi și soluții caustice.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Mănuși din împletitură metalică: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schimbarea cuțitelor la mașinile de tăiat.</w:t>
      </w:r>
    </w:p>
    <w:p>
      <w:pPr>
        <w:pStyle w:val="Normal"/>
        <w:keepNext/>
        <w:widowControl/>
        <w:numPr>
          <w:ilvl w:val="0"/>
          <w:numId w:val="8"/>
        </w:numPr>
        <w:spacing w:before="0" w:after="40"/>
        <w:ind w:left="720" w:hanging="36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împotriva intemperiilor:</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aer liber pe ploaie și vreme rece.</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de pază,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în silvicultură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de monitorizare a oleoductelor și gazoductelor</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reflectorizantă: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locuri în care lucrătorii trebuie să poată fi observați la timp.</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la drumuri și șosele, poduri, căi ferate,</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Centuri de securitate:</w:t>
      </w:r>
    </w:p>
    <w:p>
      <w:pPr>
        <w:pStyle w:val="Normal"/>
        <w:widowControl/>
        <w:numPr>
          <w:ilvl w:val="2"/>
          <w:numId w:val="19"/>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asamblarea de piese prefabricate;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stâlpi.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Frânghii de securitate:</w:t>
      </w:r>
    </w:p>
    <w:p>
      <w:pPr>
        <w:pStyle w:val="Normal"/>
        <w:widowControl/>
        <w:numPr>
          <w:ilvl w:val="0"/>
          <w:numId w:val="17"/>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macarale amplasate la mare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stivuitoare și elevatoare amplasate la mare înălțime în depozite;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și canalizări.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prelucrarea materialelor de acoperire;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{{^equippedPositions}}</w:t>
      </w:r>
    </w:p>
    <w:p>
      <w:pPr>
        <w:pStyle w:val="Normal"/>
        <w:widowControl/>
        <w:spacing w:before="24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Pentru posturile de lucru de mai sus nu a fost stabilit necesar de dotare cu echipament individual de protecție.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{{/equippedPositions}}</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2835"/>
        <w:gridCol w:w="2835"/>
        <w:gridCol w:w="1843"/>
        <w:gridCol w:w="1842"/>
      </w:tblGrid>
      <w:tr>
        <w:trPr>
          <w:tblHeader w:val="true"/>
        </w:trPr>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184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cantSplit/>
        </w:trPr>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184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18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widowControl/>
        <w:spacing w:before="24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Pentru {{unequippedPositionsText}} nu a fost stabilit necesar de dotare cu echipament individual de protecție.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keepNext w:val="false"/>
        <w:widowControl/>
        <w:spacing w:before="240" w:after="120"/>
        <w:ind w:hanging="0" w:left="0"/>
        <w:jc w:val="left"/>
        <w:rPr>
          <w:rFonts w:ascii="Arial" w:hAnsi="Arial" w:cs="Arial"/>
          <w:b w:val="false"/>
          <w:sz w:val="20"/>
          <w:szCs w:val="20"/>
        </w:rPr>
      </w:pPr>
      <w:r>
        <w:rPr>
          <w:rFonts w:eastAsia="Arial" w:cs="Arial" w:ascii="Arial" w:hAnsi="Arial"/>
          <w:b w:val="false"/>
          <w:i w:val="false"/>
          <w:color w:val="auto"/>
          <w:spacing w:val="0"/>
          <w:w w:val="100"/>
          <w:sz w:val="20"/>
          <w:szCs w:val="20"/>
          <w:lang w:val="ro-RO"/>
        </w:rPr>
        <w:t>Observații: La predarea echipamentului individual de protecție se va completa procesul verbal de predare – primire.</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 %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2026-09-24T22:45:17Z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