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pageBreakBefore w:val="false"/>
        <w:widowControl/>
        <w:bidi w:val="0"/>
        <w:spacing w:before="240" w:after="120"/>
        <w:ind w:hanging="0" w:left="0"/>
        <w:jc w:val="center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CAPITOLUL I. TEMATICA DE INSTRUIRE PENTRU INSTRUIREA INTRODUCTIV-GENERALĂ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LOCUL DE MUNCĂ: {{client.legalName}}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FUNCȚIA: Întreg personalul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CINE EFECTUEAZĂ INSTRUIREA: {{provider.legalName}} – {{fireSafetyTechnician.name}} (cadru tehnic PSI)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CONȚINUTUL MATERIALULUI DE INSTRUIRE: IPSU Art. 1 – 104, 131 – 139, 150 – 152, 236 – 245, 253 – 257; Legea 307/2006; Legea 481/2004; OMAI 712/2005; Modul de acțiune în cazul unei situații de urgență; Testare.</w:t>
      </w:r>
    </w:p>
    <w:p>
      <w:pPr>
        <w:pStyle w:val="Normal"/>
        <w:keepNext w:val="true"/>
        <w:pageBreakBefore w:val="false"/>
        <w:widowControl/>
        <w:bidi w:val="0"/>
        <w:spacing w:before="240" w:after="120"/>
        <w:ind w:hanging="0" w:left="0"/>
        <w:jc w:val="center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SUBCAPITOLUL I.I. PLANUL DE DESFĂȘURARE A INSTRUIRII INTRODUCTIV-GENERALE / 8 ORE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727"/>
        <w:gridCol w:w="2183"/>
        <w:gridCol w:w="4885"/>
        <w:gridCol w:w="1560"/>
      </w:tblGrid>
      <w:tr>
        <w:trPr>
          <w:tblHeader w:val="true"/>
          <w:cantSplit/>
        </w:trPr>
        <w:tc>
          <w:tcPr>
            <w:tcW w:w="7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Nr. crt.</w:t>
            </w:r>
          </w:p>
        </w:tc>
        <w:tc>
          <w:tcPr>
            <w:tcW w:w="706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Conținutul materialului de instruire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Planul de desfășurare</w:t>
            </w:r>
          </w:p>
        </w:tc>
      </w:tr>
      <w:tr>
        <w:trPr>
          <w:cantSplit/>
        </w:trPr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1.</w:t>
            </w:r>
          </w:p>
        </w:tc>
        <w:tc>
          <w:tcPr>
            <w:tcW w:w="218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IPSU Art. 1 – 6</w:t>
            </w:r>
          </w:p>
        </w:tc>
        <w:tc>
          <w:tcPr>
            <w:tcW w:w="488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Informații generale cu referire la instrucțiunile proprii în domeniul situațiilor de urgență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20 min</w:t>
            </w:r>
          </w:p>
        </w:tc>
      </w:tr>
      <w:tr>
        <w:trPr>
          <w:cantSplit/>
        </w:trPr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2.</w:t>
            </w:r>
          </w:p>
        </w:tc>
        <w:tc>
          <w:tcPr>
            <w:tcW w:w="218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IPSU Art. 7 – 14</w:t>
            </w:r>
          </w:p>
        </w:tc>
        <w:tc>
          <w:tcPr>
            <w:tcW w:w="488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Obligațiile generale ale angajatorului în domeniul situațiilor de urgență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20 min</w:t>
            </w:r>
          </w:p>
        </w:tc>
      </w:tr>
      <w:tr>
        <w:trPr>
          <w:cantSplit/>
        </w:trPr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3.</w:t>
            </w:r>
          </w:p>
        </w:tc>
        <w:tc>
          <w:tcPr>
            <w:tcW w:w="218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IPSU Art. 15 – 64</w:t>
            </w:r>
          </w:p>
        </w:tc>
        <w:tc>
          <w:tcPr>
            <w:tcW w:w="488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Instruirea lucrătorilor în domeniul situațiilor de urgență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45 min</w:t>
            </w:r>
          </w:p>
        </w:tc>
      </w:tr>
      <w:tr>
        <w:trPr>
          <w:cantSplit/>
        </w:trPr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4.</w:t>
            </w:r>
          </w:p>
        </w:tc>
        <w:tc>
          <w:tcPr>
            <w:tcW w:w="218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IPSU Art. 65 – 69</w:t>
            </w:r>
          </w:p>
        </w:tc>
        <w:tc>
          <w:tcPr>
            <w:tcW w:w="488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Informații privind tematica de instruire a personalului angajat în domeniul situațiilor de urgență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20 min</w:t>
            </w:r>
          </w:p>
        </w:tc>
      </w:tr>
      <w:tr>
        <w:trPr>
          <w:cantSplit/>
        </w:trPr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068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PAUZA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cantSplit/>
        </w:trPr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5.</w:t>
            </w:r>
          </w:p>
        </w:tc>
        <w:tc>
          <w:tcPr>
            <w:tcW w:w="218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IPSU Art. 70 – 73</w:t>
            </w:r>
          </w:p>
        </w:tc>
        <w:tc>
          <w:tcPr>
            <w:tcW w:w="488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Obligațiile administratorului, ale conducătorului instituției, ale utilizatorului și ale salariatului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40 min</w:t>
            </w:r>
          </w:p>
        </w:tc>
      </w:tr>
      <w:tr>
        <w:trPr>
          <w:cantSplit/>
        </w:trPr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6.</w:t>
            </w:r>
          </w:p>
        </w:tc>
        <w:tc>
          <w:tcPr>
            <w:tcW w:w="218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IPSU Art. 74 – 76</w:t>
            </w:r>
          </w:p>
        </w:tc>
        <w:tc>
          <w:tcPr>
            <w:tcW w:w="488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Alte obligații privind prevenirea și stingerea incendiilor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25 min</w:t>
            </w:r>
          </w:p>
        </w:tc>
      </w:tr>
      <w:tr>
        <w:trPr>
          <w:cantSplit/>
        </w:trPr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7.</w:t>
            </w:r>
          </w:p>
        </w:tc>
        <w:tc>
          <w:tcPr>
            <w:tcW w:w="218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IPSU Art. 77 – 91</w:t>
            </w:r>
          </w:p>
        </w:tc>
        <w:tc>
          <w:tcPr>
            <w:tcW w:w="488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Organizarea activității de apărare împotriva incendiilor la locurile de muncă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40 min</w:t>
            </w:r>
          </w:p>
        </w:tc>
      </w:tr>
      <w:tr>
        <w:trPr>
          <w:cantSplit/>
        </w:trPr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068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PAUZA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cantSplit/>
        </w:trPr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8.</w:t>
            </w:r>
          </w:p>
        </w:tc>
        <w:tc>
          <w:tcPr>
            <w:tcW w:w="218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IPSU Art. 92 – 104</w:t>
            </w:r>
          </w:p>
        </w:tc>
        <w:tc>
          <w:tcPr>
            <w:tcW w:w="488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Protecția civilă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40 min</w:t>
            </w:r>
          </w:p>
        </w:tc>
      </w:tr>
      <w:tr>
        <w:trPr>
          <w:cantSplit/>
        </w:trPr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068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PAUZA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cantSplit/>
        </w:trPr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9.</w:t>
            </w:r>
          </w:p>
        </w:tc>
        <w:tc>
          <w:tcPr>
            <w:tcW w:w="218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IPSU Art. 131 – 139</w:t>
            </w:r>
          </w:p>
        </w:tc>
        <w:tc>
          <w:tcPr>
            <w:tcW w:w="488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Căile de acces, de evacuare și de intervenție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35 min</w:t>
            </w:r>
          </w:p>
        </w:tc>
      </w:tr>
      <w:tr>
        <w:trPr>
          <w:cantSplit/>
        </w:trPr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10.</w:t>
            </w:r>
          </w:p>
        </w:tc>
        <w:tc>
          <w:tcPr>
            <w:tcW w:w="218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IPSU Art. 150 – 152</w:t>
            </w:r>
          </w:p>
        </w:tc>
        <w:tc>
          <w:tcPr>
            <w:tcW w:w="488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Reguli privind clădirile și încăperile social-administrative și de alte destinații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25 min</w:t>
            </w:r>
          </w:p>
        </w:tc>
      </w:tr>
      <w:tr>
        <w:trPr>
          <w:cantSplit/>
        </w:trPr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068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PAUZA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cantSplit/>
        </w:trPr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11.</w:t>
            </w:r>
          </w:p>
        </w:tc>
        <w:tc>
          <w:tcPr>
            <w:tcW w:w="218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IPSU Art. 236 – 240</w:t>
            </w:r>
          </w:p>
        </w:tc>
        <w:tc>
          <w:tcPr>
            <w:tcW w:w="488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Controlul respectării normelor de apărare împotriva incendiilor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30 min</w:t>
            </w:r>
          </w:p>
        </w:tc>
      </w:tr>
      <w:tr>
        <w:trPr>
          <w:cantSplit/>
        </w:trPr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12.</w:t>
            </w:r>
          </w:p>
        </w:tc>
        <w:tc>
          <w:tcPr>
            <w:tcW w:w="218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IPSU Art. 241</w:t>
            </w:r>
          </w:p>
        </w:tc>
        <w:tc>
          <w:tcPr>
            <w:tcW w:w="488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Semnalizări și marcaje pentru situații de urgență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25 min</w:t>
            </w:r>
          </w:p>
        </w:tc>
      </w:tr>
      <w:tr>
        <w:trPr>
          <w:cantSplit/>
        </w:trPr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13.</w:t>
            </w:r>
          </w:p>
        </w:tc>
        <w:tc>
          <w:tcPr>
            <w:tcW w:w="218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IPSU Art. 242 – 245</w:t>
            </w:r>
          </w:p>
        </w:tc>
        <w:tc>
          <w:tcPr>
            <w:tcW w:w="488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Pericolul de incendiu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30 min</w:t>
            </w:r>
          </w:p>
        </w:tc>
      </w:tr>
      <w:tr>
        <w:trPr>
          <w:cantSplit/>
        </w:trPr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14.</w:t>
            </w:r>
          </w:p>
        </w:tc>
        <w:tc>
          <w:tcPr>
            <w:tcW w:w="218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IPSU Art. 253 – 257</w:t>
            </w:r>
          </w:p>
        </w:tc>
        <w:tc>
          <w:tcPr>
            <w:tcW w:w="488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Dispoziții finale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15 min</w:t>
            </w:r>
          </w:p>
        </w:tc>
      </w:tr>
      <w:tr>
        <w:trPr>
          <w:cantSplit/>
        </w:trPr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068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PAUZA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cantSplit/>
        </w:trPr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15.</w:t>
            </w:r>
          </w:p>
        </w:tc>
        <w:tc>
          <w:tcPr>
            <w:tcW w:w="7068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VERIFICAREA CUNOȘTINȚELOR – testul de verificare a cunoștințelor la angajare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45 min</w:t>
            </w:r>
          </w:p>
        </w:tc>
      </w:tr>
      <w:tr>
        <w:trPr>
          <w:cantSplit/>
        </w:trPr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068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PAUZA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cantSplit/>
        </w:trPr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16.</w:t>
            </w:r>
          </w:p>
        </w:tc>
        <w:tc>
          <w:tcPr>
            <w:tcW w:w="7068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Prezentarea rezultatelor și semnarea fișelor de instruire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25 min</w:t>
            </w:r>
          </w:p>
        </w:tc>
      </w:tr>
      <w:tr>
        <w:trPr>
          <w:cantSplit/>
        </w:trPr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--</w:t>
            </w:r>
          </w:p>
        </w:tc>
        <w:tc>
          <w:tcPr>
            <w:tcW w:w="7068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TIMP TOTAL DE INSTRUIRE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480 min</w:t>
            </w:r>
          </w:p>
        </w:tc>
      </w:tr>
    </w:tbl>
    <w:p>
      <w:pPr>
        <w:pStyle w:val="Normal"/>
        <w:keepNext w:val="true"/>
        <w:pageBreakBefore w:val="false"/>
        <w:widowControl/>
        <w:bidi w:val="0"/>
        <w:spacing w:before="240" w:after="120"/>
        <w:ind w:hanging="0" w:left="0"/>
        <w:jc w:val="center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CAPITOLUL II. TEMATICA DE INSTRUIRE PENTRU INSTRUIREA LA LOCUL DE MUNCĂ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{{#fire.themes}}</w:t>
      </w:r>
    </w:p>
    <w:p>
      <w:pPr>
        <w:pStyle w:val="Normal"/>
        <w:keepNext w:val="true"/>
        <w:pageBreakBefore w:val="false"/>
        <w:widowControl/>
        <w:bidi w:val="0"/>
        <w:spacing w:before="240" w:after="12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{{label}}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LOCUL DE MUNCĂ: {{client.legalName}}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FUNCȚIA: {{label}} ({{postsText}})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CINE EFECTUEAZĂ INSTRUIREA: {{#workplaceTrainers}}{{#workplaceManagers}}{{workplaceManagers}}{{/workplaceManagers}}{{#technician}}{{provider.legalName}} – {{fireSafetyTechnician.name}} (cadru tehnic PSI){{/technician}}{{/workplaceTrainers}}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CONȚINUTUL MATERIALULUI DE INSTRUIRE: IPSU Art. 105 – 130, 140 – 149, 153 – 235, 246 – 252; Instrucțiunile afișate la locul de muncă, Decizia nr. {{fire.decisionNumbers.instructions}}; Organizarea apărării împotriva incendiilor la locul de muncă; OMAI 1184/2006; OMAI 163/2007; OMAI 106/2007; OMAI 187/2010; Prezentarea riscurilor de incendiu ale locului de muncă și a planului de evacuare; Utilizarea stingătorului (demonstrații practice); Deciziile interne PSI.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{{/fire.themes}}</w:t>
      </w:r>
    </w:p>
    <w:p>
      <w:pPr>
        <w:pStyle w:val="Normal"/>
        <w:keepNext w:val="true"/>
        <w:pageBreakBefore w:val="false"/>
        <w:widowControl/>
        <w:bidi w:val="0"/>
        <w:spacing w:before="240" w:after="120"/>
        <w:ind w:hanging="0" w:left="0"/>
        <w:jc w:val="center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SUBCAPITOLUL II.I. PLANUL DE DESFĂȘURARE A INSTRUIRII LA LOCUL DE MUNCĂ / 8 ORE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727"/>
        <w:gridCol w:w="2183"/>
        <w:gridCol w:w="4885"/>
        <w:gridCol w:w="1560"/>
      </w:tblGrid>
      <w:tr>
        <w:trPr>
          <w:tblHeader w:val="true"/>
          <w:cantSplit/>
        </w:trPr>
        <w:tc>
          <w:tcPr>
            <w:tcW w:w="7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Nr. crt.</w:t>
            </w:r>
          </w:p>
        </w:tc>
        <w:tc>
          <w:tcPr>
            <w:tcW w:w="706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Conținutul materialului de instruire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Planul de desfășurare</w:t>
            </w:r>
          </w:p>
        </w:tc>
      </w:tr>
      <w:tr>
        <w:trPr>
          <w:cantSplit/>
        </w:trPr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1.</w:t>
            </w:r>
          </w:p>
        </w:tc>
        <w:tc>
          <w:tcPr>
            <w:tcW w:w="218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IPSU Art. 105 – 118</w:t>
            </w:r>
          </w:p>
        </w:tc>
        <w:tc>
          <w:tcPr>
            <w:tcW w:w="488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Exploatarea utilajelor, instalațiilor și echipamentelor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30 min</w:t>
            </w:r>
          </w:p>
        </w:tc>
      </w:tr>
      <w:tr>
        <w:trPr>
          <w:cantSplit/>
        </w:trPr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2.</w:t>
            </w:r>
          </w:p>
        </w:tc>
        <w:tc>
          <w:tcPr>
            <w:tcW w:w="218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IPSU Art. 119 – 120</w:t>
            </w:r>
          </w:p>
        </w:tc>
        <w:tc>
          <w:tcPr>
            <w:tcW w:w="488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Reguli privind perioadele caniculare și secetoase și perioada sezonului rece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20 min</w:t>
            </w:r>
          </w:p>
        </w:tc>
      </w:tr>
      <w:tr>
        <w:trPr>
          <w:cantSplit/>
        </w:trPr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3.</w:t>
            </w:r>
          </w:p>
        </w:tc>
        <w:tc>
          <w:tcPr>
            <w:tcW w:w="218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IPSU Art. 121 – 129</w:t>
            </w:r>
          </w:p>
        </w:tc>
        <w:tc>
          <w:tcPr>
            <w:tcW w:w="488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Reguli privind lucrul cu foc deschis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30 min</w:t>
            </w:r>
          </w:p>
        </w:tc>
      </w:tr>
      <w:tr>
        <w:trPr>
          <w:cantSplit/>
        </w:trPr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4.</w:t>
            </w:r>
          </w:p>
        </w:tc>
        <w:tc>
          <w:tcPr>
            <w:tcW w:w="218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IPSU Art. 130</w:t>
            </w:r>
          </w:p>
        </w:tc>
        <w:tc>
          <w:tcPr>
            <w:tcW w:w="488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Reguli privind fumatul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20 min</w:t>
            </w:r>
          </w:p>
        </w:tc>
      </w:tr>
      <w:tr>
        <w:trPr>
          <w:cantSplit/>
        </w:trPr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068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PAUZA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cantSplit/>
        </w:trPr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5.</w:t>
            </w:r>
          </w:p>
        </w:tc>
        <w:tc>
          <w:tcPr>
            <w:tcW w:w="218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IPSU Art. 140 – 146</w:t>
            </w:r>
          </w:p>
        </w:tc>
        <w:tc>
          <w:tcPr>
            <w:tcW w:w="488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Reguli privind activitatea în spații de depozitare și în spații anexe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30 min</w:t>
            </w:r>
          </w:p>
        </w:tc>
      </w:tr>
      <w:tr>
        <w:trPr>
          <w:cantSplit/>
        </w:trPr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6.</w:t>
            </w:r>
          </w:p>
        </w:tc>
        <w:tc>
          <w:tcPr>
            <w:tcW w:w="218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IPSU Art. 147 – 149</w:t>
            </w:r>
          </w:p>
        </w:tc>
        <w:tc>
          <w:tcPr>
            <w:tcW w:w="488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Reguli privind exploatarea instalațiilor electrice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25 min</w:t>
            </w:r>
          </w:p>
        </w:tc>
      </w:tr>
      <w:tr>
        <w:trPr>
          <w:cantSplit/>
        </w:trPr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7.</w:t>
            </w:r>
          </w:p>
        </w:tc>
        <w:tc>
          <w:tcPr>
            <w:tcW w:w="218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IPSU Art. 153 – 214</w:t>
            </w:r>
          </w:p>
        </w:tc>
        <w:tc>
          <w:tcPr>
            <w:tcW w:w="488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Reguli privind activitatea de intervenție, salvare și acordare a primului ajutor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60 min</w:t>
            </w:r>
          </w:p>
        </w:tc>
      </w:tr>
      <w:tr>
        <w:trPr>
          <w:cantSplit/>
        </w:trPr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068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PAUZA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cantSplit/>
        </w:trPr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8.</w:t>
            </w:r>
          </w:p>
        </w:tc>
        <w:tc>
          <w:tcPr>
            <w:tcW w:w="218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IPSU Art. 215 – 235</w:t>
            </w:r>
          </w:p>
        </w:tc>
        <w:tc>
          <w:tcPr>
            <w:tcW w:w="488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Echiparea și dotarea cu mijloace tehnice de apărare împotriva incendiilor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35 min</w:t>
            </w:r>
          </w:p>
        </w:tc>
      </w:tr>
      <w:tr>
        <w:trPr>
          <w:cantSplit/>
        </w:trPr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9.</w:t>
            </w:r>
          </w:p>
        </w:tc>
        <w:tc>
          <w:tcPr>
            <w:tcW w:w="218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IPSU Art. 246 – 252</w:t>
            </w:r>
          </w:p>
        </w:tc>
        <w:tc>
          <w:tcPr>
            <w:tcW w:w="488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Stingătoarele de incendiu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35 min</w:t>
            </w:r>
          </w:p>
        </w:tc>
      </w:tr>
      <w:tr>
        <w:trPr>
          <w:cantSplit/>
        </w:trPr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10.</w:t>
            </w:r>
          </w:p>
        </w:tc>
        <w:tc>
          <w:tcPr>
            <w:tcW w:w="218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Decizia nr. {{fire.decisionNumbers.instructions}}</w:t>
            </w:r>
          </w:p>
        </w:tc>
        <w:tc>
          <w:tcPr>
            <w:tcW w:w="488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Instrucțiunile de apărare împotriva incendiilor afișate la locul de muncă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45 min</w:t>
            </w:r>
          </w:p>
        </w:tc>
      </w:tr>
      <w:tr>
        <w:trPr>
          <w:cantSplit/>
        </w:trPr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11.</w:t>
            </w:r>
          </w:p>
        </w:tc>
        <w:tc>
          <w:tcPr>
            <w:tcW w:w="218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Fișa afișată la locul de muncă</w:t>
            </w:r>
          </w:p>
        </w:tc>
        <w:tc>
          <w:tcPr>
            <w:tcW w:w="488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Organizarea apărării împotriva incendiilor la locul de muncă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30 min</w:t>
            </w:r>
          </w:p>
        </w:tc>
      </w:tr>
      <w:tr>
        <w:trPr>
          <w:cantSplit/>
        </w:trPr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068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PAUZA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cantSplit/>
        </w:trPr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12.</w:t>
            </w:r>
          </w:p>
        </w:tc>
        <w:tc>
          <w:tcPr>
            <w:tcW w:w="7068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Demonstrații practice privind amplasarea, utilizarea și modul de acționare cu mijloacele de alarmare, intervenție în caz de incendiu, mijloacele de apărare împotriva incendiilor, mijloacele de evacuare și de prim ajutor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30 min</w:t>
            </w:r>
          </w:p>
        </w:tc>
      </w:tr>
      <w:tr>
        <w:trPr>
          <w:cantSplit/>
        </w:trPr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13.</w:t>
            </w:r>
          </w:p>
        </w:tc>
        <w:tc>
          <w:tcPr>
            <w:tcW w:w="7068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Prezentarea planului de evacuare, a amplasării acestuia și a unui scenariu de evacuare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30 min</w:t>
            </w:r>
          </w:p>
        </w:tc>
      </w:tr>
      <w:tr>
        <w:trPr>
          <w:cantSplit/>
        </w:trPr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068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PAUZA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cantSplit/>
        </w:trPr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14.</w:t>
            </w:r>
          </w:p>
        </w:tc>
        <w:tc>
          <w:tcPr>
            <w:tcW w:w="7068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VERIFICAREA CUNOȘTINȚELOR – testul de verificare a cunoștințelor la angajare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40 min</w:t>
            </w:r>
          </w:p>
        </w:tc>
      </w:tr>
      <w:tr>
        <w:trPr>
          <w:cantSplit/>
        </w:trPr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068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PAUZA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cantSplit/>
        </w:trPr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15.</w:t>
            </w:r>
          </w:p>
        </w:tc>
        <w:tc>
          <w:tcPr>
            <w:tcW w:w="7068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Prezentarea rezultatelor și semnarea fișelor de instruire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20 min</w:t>
            </w:r>
          </w:p>
        </w:tc>
      </w:tr>
      <w:tr>
        <w:trPr>
          <w:cantSplit/>
        </w:trPr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--</w:t>
            </w:r>
          </w:p>
        </w:tc>
        <w:tc>
          <w:tcPr>
            <w:tcW w:w="7068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TIMP TOTAL DE INSTRUIRE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480 min</w:t>
            </w:r>
          </w:p>
        </w:tc>
      </w:tr>
    </w:tbl>
    <w:p>
      <w:pPr>
        <w:pStyle w:val="Normal"/>
        <w:keepNext w:val="true"/>
        <w:pageBreakBefore w:val="false"/>
        <w:widowControl/>
        <w:bidi w:val="0"/>
        <w:spacing w:before="240" w:after="120"/>
        <w:ind w:hanging="0" w:left="0"/>
        <w:jc w:val="center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CAPITOLUL III. TEMATICA DE INSTRUIRE ȘI PLANUL DE DESFĂȘURARE A INSTRUIRII PERIODICE</w:t>
      </w:r>
    </w:p>
    <w:p>
      <w:pPr>
        <w:pStyle w:val="Normal"/>
        <w:keepNext w:val="true"/>
        <w:pageBreakBefore w:val="false"/>
        <w:widowControl/>
        <w:bidi w:val="0"/>
        <w:spacing w:before="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{{#fire.themes}}</w:t>
      </w:r>
    </w:p>
    <w:p>
      <w:pPr>
        <w:pStyle w:val="Normal"/>
        <w:keepNext w:val="false"/>
        <w:pageBreakBefore w:val="false"/>
        <w:widowControl/>
        <w:bidi w:val="0"/>
        <w:spacing w:before="240" w:after="12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{{label}}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LOCUL DE MUNCĂ: {{client.legalName}}</w:t>
      </w:r>
    </w:p>
    <w:p>
      <w:pPr>
        <w:pStyle w:val="Normal"/>
        <w:keepNext w:val="true"/>
        <w:pageBreakBefore w:val="false"/>
        <w:widowControl/>
        <w:bidi w:val="0"/>
        <w:spacing w:before="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FUNCȚIA: {{label}} ({{postsText}})</w:t>
      </w:r>
    </w:p>
    <w:p>
      <w:pPr>
        <w:pStyle w:val="Normal"/>
        <w:keepNext w:val="true"/>
        <w:pageBreakBefore w:val="false"/>
        <w:widowControl/>
        <w:bidi w:val="0"/>
        <w:spacing w:before="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CINE EFECTUEAZĂ INSTRUIREA: {{#periodicTrainers}}{{#workplaceManagers}}{{workplaceManagers}} sau, după caz, {{/workplaceManagers}}{{#technician}}{{provider.legalName}} – {{fireSafetyTechnician.name}} (cadru tehnic PSI){{/technician}}{{/periodicTrainers}}</w:t>
      </w:r>
    </w:p>
    <w:p>
      <w:pPr>
        <w:pStyle w:val="Normal"/>
        <w:keepNext w:val="true"/>
        <w:pageBreakBefore w:val="false"/>
        <w:widowControl/>
        <w:bidi w:val="0"/>
        <w:spacing w:before="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PERIODICITATE: {{intervalLabel}}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767"/>
        <w:gridCol w:w="5924"/>
        <w:gridCol w:w="1664"/>
      </w:tblGrid>
      <w:tr>
        <w:trPr>
          <w:tblHeader w:val="true"/>
          <w:cantSplit/>
        </w:trPr>
        <w:tc>
          <w:tcPr>
            <w:tcW w:w="17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Lunile anului</w:t>
            </w:r>
          </w:p>
        </w:tc>
        <w:tc>
          <w:tcPr>
            <w:tcW w:w="5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Conținutul materialului de instruire</w:t>
            </w:r>
          </w:p>
        </w:tc>
        <w:tc>
          <w:tcPr>
            <w:tcW w:w="1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Planul de desfășurare</w:t>
            </w:r>
          </w:p>
        </w:tc>
      </w:tr>
      <w:tr>
        <w:trPr>
          <w:cantSplit/>
        </w:trPr>
        <w:tc>
          <w:tcPr>
            <w:tcW w:w="176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{{#sessions}}{{month}}</w:t>
            </w:r>
          </w:p>
        </w:tc>
        <w:tc>
          <w:tcPr>
            <w:tcW w:w="592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{{content}}</w:t>
            </w:r>
          </w:p>
        </w:tc>
        <w:tc>
          <w:tcPr>
            <w:tcW w:w="166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{{duration}}{{/sessions}}</w:t>
            </w:r>
          </w:p>
        </w:tc>
      </w:tr>
    </w:tbl>
    <w:p>
      <w:pPr>
        <w:pStyle w:val="Normal"/>
        <w:keepNext w:val="false"/>
        <w:pageBreakBefore w:val="false"/>
        <w:widowControl/>
        <w:bidi w:val="0"/>
        <w:spacing w:before="12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{{/fire.themes}}</w:t>
      </w:r>
    </w:p>
    <w:p>
      <w:pPr>
        <w:pStyle w:val="Normal"/>
        <w:keepNext w:val="false"/>
        <w:widowControl/>
        <w:bidi w:val="0"/>
        <w:spacing w:before="0" w:after="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"/>
          <w:szCs w:val="20"/>
          <w:lang w:val="ro-RO"/>
        </w:rPr>
      </w:r>
    </w:p>
    <w:sectPr>
      <w:headerReference w:type="even" r:id="rId2"/>
      <w:headerReference w:type="default" r:id="rId3"/>
      <w:headerReference w:type="first" r:id="rId4"/>
      <w:footerReference w:type="default" r:id="rId5"/>
      <w:type w:val="nextPage"/>
      <w:pgSz w:w="11906" w:h="16838"/>
      <w:pgMar w:left="1417" w:right="1134" w:gutter="0" w:header="680" w:top="2629" w:footer="680" w:bottom="1151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spacing w:before="60" w:after="0"/>
      <w:ind w:hanging="0" w:left="0" w:right="0"/>
      <w:jc w:val="center"/>
      <w:rPr>
        <w:rFonts w:ascii="Arial" w:hAnsi="Arial" w:eastAsia="Arial" w:cs="Arial"/>
        <w:b w:val="false"/>
        <w:color w:val="7A7A7A"/>
        <w:spacing w:val="0"/>
        <w:w w:val="100"/>
        <w:sz w:val="15"/>
        <w:szCs w:val="15"/>
        <w:lang w:val="ro-RO"/>
      </w:rPr>
    </w:pPr>
    <w:r>
      <w:rPr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Cadru tehnic PSI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{{fireSafetyTechnician.name}}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TISU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Tematica de instruire și programul de instruire – testare la nivelul unității în domeniul situațiilor de urgență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3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3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bidi w:val="0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Cadru tehnic PSI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{{fireSafetyTechnician.name}}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TISU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Tematica de instruire și programul de instruire – testare la nivelul unității în domeniul situațiilor de urgență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3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3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bidi w:val="0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Cadru tehnic PSI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{{fireSafetyTechnician.name}}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TISU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Tematica de instruire și programul de instruire – testare la nivelul unității în domeniul situațiilor de urgență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3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3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bidi w:val="0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doNotUseHTMLParagraphAutoSpacing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Arial" w:hAnsi="Arial" w:eastAsia="Arial" w:cs="Arial"/>
      <w:color w:val="auto"/>
      <w:kern w:val="2"/>
      <w:sz w:val="24"/>
      <w:szCs w:val="24"/>
      <w:lang w:val="en-US" w:eastAsia="zh-CN" w:bidi="hi-IN"/>
    </w:rPr>
  </w:style>
  <w:style w:type="character" w:styleId="FootnoteCharacters">
    <w:name w:val="Footnote Characters"/>
    <w:qFormat/>
    <w:rPr/>
  </w:style>
  <w:style w:type="character" w:styleId="PageNumber">
    <w:name w:val="page number"/>
    <w:rPr/>
  </w:style>
  <w:style w:type="character" w:styleId="CaptionCharacters">
    <w:name w:val="Caption Characters"/>
    <w:qFormat/>
    <w:rPr/>
  </w:style>
  <w:style w:type="character" w:styleId="DropCaps">
    <w:name w:val="Drop Caps"/>
    <w:qFormat/>
    <w:rPr/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Hyperlink">
    <w:name w:val="Hyperlink"/>
    <w:rPr>
      <w:u w:val="single"/>
    </w:rPr>
  </w:style>
  <w:style w:type="character" w:styleId="FollowedHyperlink">
    <w:name w:val="FollowedHyperlink"/>
    <w:rPr>
      <w:u w:val="single"/>
    </w:rPr>
  </w:style>
  <w:style w:type="character" w:styleId="Placeholder">
    <w:name w:val="Placeholder"/>
    <w:qFormat/>
    <w:rPr>
      <w:smallCaps/>
      <w:u w:val="dotted"/>
    </w:rPr>
  </w:style>
  <w:style w:type="character" w:styleId="IndexLink">
    <w:name w:val="Index Link"/>
    <w:qFormat/>
    <w:rPr/>
  </w:style>
  <w:style w:type="character" w:styleId="EndnoteCharacters">
    <w:name w:val="Endnote Characters"/>
    <w:qFormat/>
    <w:rPr/>
  </w:style>
  <w:style w:type="character" w:styleId="LineNumber">
    <w:name w:val="line number"/>
    <w:rPr/>
  </w:style>
  <w:style w:type="character" w:styleId="MainIndexEntry">
    <w:name w:val="Main Index Entry"/>
    <w:qFormat/>
    <w:rPr>
      <w:b/>
      <w:bCs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Rubies">
    <w:name w:val="Rubies"/>
    <w:qFormat/>
    <w:rPr>
      <w:sz w:val="12"/>
      <w:szCs w:val="12"/>
      <w:u w:val="none"/>
      <w:em w:val="none"/>
    </w:rPr>
  </w:style>
  <w:style w:type="character" w:styleId="VerticalNumberingSymbols">
    <w:name w:val="Vertical Numbering Symbols"/>
    <w:qFormat/>
    <w:rPr>
      <w:eastAsianLayout w:vert="true"/>
    </w:rPr>
  </w:style>
  <w:style w:type="character" w:styleId="Emphasis">
    <w:name w:val="Emphasis"/>
    <w:qFormat/>
    <w:rPr>
      <w:i/>
      <w:iCs/>
    </w:rPr>
  </w:style>
  <w:style w:type="character" w:styleId="Quotation">
    <w:name w:val="Quotation"/>
    <w:qFormat/>
    <w:rPr>
      <w:i/>
      <w:iCs/>
    </w:rPr>
  </w:style>
  <w:style w:type="character" w:styleId="Strong">
    <w:name w:val="Strong"/>
    <w:qFormat/>
    <w:rPr>
      <w:b/>
      <w:bCs/>
    </w:rPr>
  </w:style>
  <w:style w:type="character" w:styleId="SourceText">
    <w:name w:val="Source Text"/>
    <w:qFormat/>
    <w:rPr>
      <w:rFonts w:ascii="Liberation Mono" w:hAnsi="Liberation Mono" w:eastAsia="Arial" w:cs="Liberation Mono"/>
    </w:rPr>
  </w:style>
  <w:style w:type="character" w:styleId="Example">
    <w:name w:val="Example"/>
    <w:qFormat/>
    <w:rPr>
      <w:rFonts w:ascii="Liberation Mono" w:hAnsi="Liberation Mono" w:eastAsia="Arial" w:cs="Liberation Mono"/>
    </w:rPr>
  </w:style>
  <w:style w:type="character" w:styleId="UserEntry">
    <w:name w:val="User Entry"/>
    <w:qFormat/>
    <w:rPr>
      <w:rFonts w:ascii="Liberation Mono" w:hAnsi="Liberation Mono" w:eastAsia="Arial" w:cs="Liberation Mono"/>
    </w:rPr>
  </w:style>
  <w:style w:type="character" w:styleId="Variable">
    <w:name w:val="Variable"/>
    <w:qFormat/>
    <w:rPr>
      <w:i/>
      <w:iCs/>
    </w:rPr>
  </w:style>
  <w:style w:type="character" w:styleId="Definition">
    <w:name w:val="Definition"/>
    <w:qFormat/>
    <w:rPr/>
  </w:style>
  <w:style w:type="character" w:styleId="Teletype">
    <w:name w:val="Teletype"/>
    <w:qFormat/>
    <w:rPr>
      <w:rFonts w:ascii="Liberation Mono" w:hAnsi="Liberation Mono" w:eastAsia="Arial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Arial" w:hAnsi="Arial" w:eastAsia="Arial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Footer">
    <w:name w:val="footer"/>
    <w:basedOn w:val="HeaderandFooter"/>
    <w:pPr>
      <w:suppressLineNumbers/>
      <w:tabs>
        <w:tab w:val="clear" w:pos="4819"/>
        <w:tab w:val="clear" w:pos="9638"/>
        <w:tab w:val="center" w:pos="4677" w:leader="none"/>
        <w:tab w:val="right" w:pos="9355" w:leader="none"/>
      </w:tabs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LibreOffice/26.8.0.3$Linux_AARCH64 LibreOffice_project/680$Build-3</Application>
  <AppVersion>15.0000</AppVersion>
  <Pages>3</Pages>
  <Words>1187</Words>
  <Characters>8616</Characters>
  <CharactersWithSpaces>9520</CharactersWithSpaces>
  <Paragraphs>330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ro-RO</dc:language>
  <cp:lastModifiedBy/>
  <dcterms:modified xsi:type="dcterms:W3CDTF">2026-10-10T15:37:11Z</dcterms:modified>
  <cp:revision>1</cp:revision>
  <dc:subject/>
  <dc:title/>
</cp:coreProperties>
</file>