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ACT ADIȚIONAL</w:t>
      </w:r>
    </w:p>
    <w:p>
      <w:pPr>
        <w:pStyle w:val="Normal"/>
        <w:keepNext w:val="false"/>
        <w:bidi w:val="0"/>
        <w:spacing w:before="0" w:after="24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la contractul individual de muncă, privind semnarea electronică a fișelor de instruire</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 cu sediul în {{client.address}}, cod de înregistrare fiscală {{client.cui}}, reprezentată prin {{client.representativeName}}, în calitate de {{client.representativeRole}}, denumită în continuare „angajator”,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{{employee.name}}, salariat în funcția de {{employee.position}}{{#employee.identification}}, {{employee.identification}}{{/employee.identification}}, cu contract individual de muncă având data de începere a activității {{employee.hiredOn}}, denumit în continuare „salariat”,</w:t>
      </w:r>
    </w:p>
    <w:p>
      <w:pPr>
        <w:pStyle w:val="Normal"/>
        <w:keepNext/>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temeiul art. 16 alin. (1¹) și (1⁷) din Legea 53/2003 – Codul muncii, al art. 17 alin. (3) lit. o) din Legea 53/2003, al art. 81 alin. (3²) din H.G. 1425/2006 și al art. 4 alin. (5) lit. c) din Legea 214/2024, convin următoarele: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Începând cu data semnării prezentului act adițional, fișele individuale de instruire ale salariatului în domeniul securității și sănătății în muncă și în domeniul situațiilor de urgență se semnează cu semnătură electronică avansată, în platforma informatică pusă la dispoziție de {{provider.legalName}}, potrivit anexei la regulamentul intern privind semnarea electronică a fișelor de instruire, de care salariatul a luat cunoștință. Părțile convin ca această semnătură să producă aceleași efecte juridice ca semnătura olografă și confirmă că au înțeles riscurile și sarcina probei privind semnătura electronică avansată.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semnează din contul său personal în platformă. La fiecare semnare, platforma trimite un cod de unică folosință pe {{codeChannel}}, iar semnătura se creează numai după introducerea codului; platforma înregistrează numele semnatarului, momentul semnării, adresa sau numărul pe care s-a trimis codul și conținutul semnat, iar rândul semnat al fișei nu mai poate fi modificat.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poate reveni oricând la semnarea olografă, printr-o cerere scrisă adresată angajatorului; de la data cererii, fișele salariatului se semnează olograf. Fișele semnate electronic până la acea dată rămân valabile.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Celelalte clauze ale contractului individual de muncă rămân neschimbate. Prezentul act adițional se semnează de ambele părți cu același tip de semnătură: olograf, în două exemplare, câte unul pentru fiecare parte, sau electronic, caz în care fiecare parte primește documentul semnat în format electronic.</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Angajator</w:t>
            </w:r>
          </w:p>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16"/>
                  <w:szCs w:val="16"/>
                  <w:lang w:val="ro-RO"/>
                </w:rPr>
                <w:alias w:val="sig_employer"/>
                <w:tag w:val="sig_employer"/>
                <w:id w:val="1"/>
                <w:showingPlcHdr/>
                <w:text w:multiLine="1"/>
              </w:sdtPr>
              <w:sdtContent>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sdtContent>
            </w:sdt>
          </w:p>
          <w:p>
            <w:pPr>
              <w:pStyle w:val="TableContents"/>
              <w:keepNext w:val="false"/>
              <w:bidi w:val="0"/>
              <w:spacing w:before="8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p>
            <w:pPr>
              <w:pStyle w:val="TableContents"/>
              <w:keepNext w:val="false"/>
              <w:bidi w:val="0"/>
              <w:spacing w:before="12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Data: ____________________</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w:t>
            </w:r>
          </w:p>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16"/>
                  <w:szCs w:val="16"/>
                  <w:lang w:val="ro-RO"/>
                </w:rPr>
                <w:alias w:val="sig_employee"/>
                <w:tag w:val="sig_employee"/>
                <w:id w:val="2"/>
                <w:showingPlcHdr/>
                <w:text w:multiLine="1"/>
              </w:sdtPr>
              <w:sdtContent>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sdtContent>
            </w:sdt>
          </w:p>
          <w:p>
            <w:pPr>
              <w:pStyle w:val="TableContents"/>
              <w:keepNext w:val="false"/>
              <w:bidi w:val="0"/>
              <w:spacing w:before="8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{{employee.name}}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{{employee.position}}</w:t>
            </w:r>
          </w:p>
          <w:p>
            <w:pPr>
              <w:pStyle w:val="TableContents"/>
              <w:keepNext w:val="false"/>
              <w:bidi w:val="0"/>
              <w:spacing w:before="12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Data: ____________________</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2026-10-18T00:22:49Z</dcterms:modified>
  <cp:revision>1</cp:revision>
  <dc:subject/>
  <dc:title/>
</cp:coreProperties>
</file>