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OMAI 163/2007 – Art. 17 lit. b) și Art. 20 alin. (2) lit. a), Normele generale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cu scopul existenței unui singur document cu caracter de informare și instruire, care să cuprindă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aplicare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actele normative care reglementează managementul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307/2006 privind apărarea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481/2004 privind protecția civilă;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O.U.G. 21/2004 privind Sistemul Național de Management al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163/2007 pentru aprobarea Normelor generale de apărare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712/2005 pentru aprobarea Dispozițiilor generale privind instruirea salariaților în domeniul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1184/2006 pentru aprobarea Normelor privind organizarea și asigurarea activității de evacuare în situații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187/2010 pentru aprobarea Dispozițiilor generale privind apărarea împotriva incendiilor la spații pentru comerț;</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prevenirea și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reguli de aplicare a normelor de prevenire și stingere a incendiilor au fost elaborate ținând cont de condițiile specifice în care se desfășoară activitățile în cadrul {{client.legalName}}, corespunzător nivelului de risc analizat, și completează, respectiv sunt în conformitate cu, prevederile normelor generale și ale normelor specifice de situații de urgență în vigoare.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prin extrase din Legea 307/2006 privind apărarea împotriva incendiilor, Legea 481/2004 privind protecția civilă, OMAI 712/2005 privind instruirea salariaților în domeniul situațiilor de urgență, OMAI 163/2007 – Normele generale de apărare împotriva incendiilor, normative, norme de prevenire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de situații de urgență elaborate pentru condițiile concrete de desfășurare a activității unității la punctele de lucru. Instrucțiunile de apărare împotriva incendiilor sunt obligatorii și se aplică în cadrul tuturor compartimentelor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de accidentare noi;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de accidentare noi;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 – (3))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17¹)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OMAI 712/2005 – Art. 21 și 22.</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propagandă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angajare, la terminarea instructajului introductiv general și a instructajului specific locului de muncă, cunoștințele lucrătorilor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prevăzute și specificate în tematica de instruire, articole din IPSU.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Ținând cont că instruirea în domeniul situațiilor de urgență cuprinde 3 (trei) faze, instruirea introductiv-generală, instruirea la locul de muncă și instruirea periodică, va fi întocmită o „Tematică de instruire pentru toate fazele de instruire și programul de instruire – 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echipelor de intervenție (răspuns)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al lucrătorilor va fi inclus în programul de instruire – 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r²)</w:t>
      </w:r>
      <w:r>
        <w:rPr>
          <w:rFonts w:eastAsia="Arial" w:cs="Arial" w:ascii="Arial" w:hAnsi="Arial"/>
          <w:b w:val="false"/>
          <w:i w:val="false"/>
          <w:color w:val="auto"/>
          <w:spacing w:val="0"/>
          <w:w w:val="100"/>
          <w:sz w:val="20"/>
          <w:szCs w:val="20"/>
          <w:lang w:val="ro-RO"/>
        </w:rPr>
        <w:tab/>
        <w:t>să dispună și să asigure menținerea, pe intervalul de timp prevăzut la lit. r³),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30³ alin. (4⁴);</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r³)</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30³ alin. (4⁴)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r⁴)</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r⁵)</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r⁶)</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r⁷)</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r⁸)</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r⁹)</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r¹⁰)</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r¹¹)</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r¹²)</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r¹³)</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r¹⁴)</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r¹⁵)</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r¹⁶)</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prevenirea și stingerea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30²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27¹, pentru categoriile de construcții care se încadrează în prevederile hotărârii Guvernului prevăzute la art. 30²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27¹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30²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27¹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au obligația să le studieze, să le însușească și să le aplice.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asigurându-se astfel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butoane manuale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echipament de control și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panouri de semnalizare;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mijloace de comunicație;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hidranți interiori și exteriori;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manometre;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compartimentări;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lucrări de construcții;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limitări de acces;</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mascări diverse;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dispozitive și aparate de alarmare, avertizare și alertare;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circuite electrice;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vane și robinete de incendiu;</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manipularea neglijentă a unor materiale;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fum;</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temperatură;</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acoperiri cu vopsea, var, placări;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reducerea peste limita admisă a spațiului liber în jurul detectoarelor prin depozitări de materiale, amplasarea unor ornamente;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sprinkler;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capete drencer;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depozitări de materiale peste limitele admise în jurul capetelor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atașarea unor materiale de capetele deversoare;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furtunuri și țevi de refulare;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stingătoare și alte aparate de stins incendii;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folosirea în alte scopuri;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se execută numai pe baza permisului de lucru cu foc, al cărui model este prezentat în anexa nr. 4 la prezentele norme generale.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prevenire și stingere 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presele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prevenire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 sau stivele de mărfuri vor fi libere, delimitate și marcate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vor trebui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conductorii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datorită supraîncălzirii conductorilor.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poduri, magazii, precum și în orice alt loc care prezintă pericol de incendiu este interzis iluminatul cu flacără deschisă (lumânări, chibrituri, lămpi de petrol etc.) sau folosirea altor surse.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Căile de evacuare vor fi menținute în permanență în stare liberă,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Resturile de hârtii și altă maculatură vor fi colectate și evacuate zilnic din birouri.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incendiu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serviciul cu clienții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formației de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nedeplasabile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Modul de acționare simultan cu stingerea incendiului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formației de stingere a incendiului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formației de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stingătoarele cu spumă (spumă chimică), tip S: rezervoare de combustibil, centrala termică, grupul electrogen.</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intervenție vor căuta să stingă focul până la intervenția pompierilor sosiți la fața locului. Din momentul sosirii pompierilor, echipele de intervenție vor rămâne la dispoziția pompierilor. Șeful echipei de intervenție trebuie să acționeze în continuare și să sprijine intervenția pompierilor.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unul dintre cele trei elemente care o întrețin (materia combustibilă, oxigenul din aer și temperatura) încetează.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fază de primă intervenție, prin scoaterea siguranței, apoi se acționează clapeta sau rozeta de declanșare, îndreptând jetul de pulbere sau dioxid de carbon la baza flăcărilor, astfel ca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portabile cu spumă chimică funcționează prin răsturnare, îndreptându-se cu orificiul către incendiu, astfel ca jetul să fie refulat la baza flăcării, acoperind cu un strat de spumă întreaga suprafață aprinsă;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oțetul și sifonul sunt de circa cinci ori mai eficace decât apa, realizând stingerea într-un timp mai scurt, cu o cantitate de lichid mult mai 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când flăcările au fost complet lichidate;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vă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sau spumă (S)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Heading1"/>
        <w:keepNext w:val="false"/>
        <w:pageBreakBefore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acordarea primului ajutor potrivit stării victimei și supravegherea ei până la preluarea de către echipajul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restul corpului: la victima care respiră normal se caută alte leziuni (cap, gât, torace, abdomen, bazin, membre), fără a o mișca inutil.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caz de îndoială, salvatorul presupune că victima este în stop cardiac și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reduce la minimum pauzele dintre compresii.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4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Lucrătorii trebuie să știe unde se află cel mai apropiat defibrilator, la locul de muncă sau în clădirile din apropiere.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culcă victima, o acoperă și o supraveghează pentru semnele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Comprimarea arterelor la distanță de rană și aplicarea de gheață nu se folosesc pentru oprirea unei sângerări care pune viața în pericol.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se transportă de urgență la spital, de către echipajul de urgență.</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 se comunică denumirea produsului de pe etichetă și din fișa cu date de securitate, iar ambalajul și fișa se predau echipajului.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poartă mănuși atunci când substanța nu este cunoscută.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la fracturile coapsei, ale bazinului sau ale coloanei, la fracturile deschise și la orice fractură însoțită de semne de șoc.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poate aplica rece pentru scurt timp (pungă cu gheață sau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 luxațiile și entorsele cu deformare sau cu durere puternică se imobilizează ca fracturile.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aplică guler cervical.</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supraveghează respirația; dacă victima nu mai răspunde și nu respiră normal, se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nu mai răspunde, dar respiră normal, este așezată în poziția laterală de siguranță; dacă nu respiră normal, se începe resuscitarea.</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începe resuscitarea, care se continuă până la sosirea echipajului de urgență.</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este dusă la medic.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persoană intoxicată cu gaze merge la medic, chiar dacă pare să-și fi revenit.</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Orice persoană salvată de la înec merge la spital, chiar dacă pare să-și fi revenit, deoarece complicațiile respiratorii pot apărea și după câteva ore.</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Nu se aplică garou, bandaj compresiv, gheață sau căldură, rana nu se taie și nu se arde, veninul nu se suge, iar victimei nu i se dă alcool.</w:t>
      </w:r>
    </w:p>
    <w:p>
      <w:pPr>
        <w:pStyle w:val="Heading1"/>
        <w:keepNext w:val="fals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val="true"/>
        <w:widowControl/>
        <w:numPr>
          <w:ilvl w:val="0"/>
          <w:numId w:val="1"/>
        </w:numPr>
        <w:bidi w:val="0"/>
        <w:spacing w:before="120" w:after="60"/>
        <w:ind w:hanging="0" w:left="0"/>
        <w:jc w:val="left"/>
        <w:rPr>
          <w:b w:val="false"/>
          <w:sz w:val="18"/>
          <w:szCs w:val="18"/>
          <w:lang w:val="ro-RO"/>
        </w:rPr>
      </w:pPr>
      <w:r>
        <w:rPr>
          <w:rFonts w:eastAsia="Arial" w:cs="Arial" w:ascii="Arial" w:hAnsi="Arial"/>
          <w:color w:val="auto"/>
          <w:spacing w:val="0"/>
          <w:w w:val="100"/>
          <w:sz w:val="20"/>
          <w:szCs w:val="20"/>
          <w:lang w:val="ro-RO"/>
        </w:rPr>
        <w:t>Salvatorul nu face următoarele:</w:t>
      </w:r>
    </w:p>
    <w:p>
      <w:pPr>
        <w:pStyle w:val="Normal"/>
        <w:widowControl/>
        <w:numPr>
          <w:ilvl w:val="0"/>
          <w:numId w:val="70"/>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urgent.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intrarea în normal, în deplină siguranță, a desfășurării activității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eventualele flăcări ce vor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ale administrației publice centrale și locale;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fundații, organizații neguvernamentale, asociații, agenții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comerț alimentar și nealimentar;</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magazine generale;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alimentație publică (restaurante, braserii și altele asemenea);</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blocuri;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circuri mobile;</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scene și tribune amenajate provizoriu în aer liber (pentru spectacole, mitinguri, competiții sportive etc.);</w:t>
            </w:r>
          </w:p>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mp</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 localității.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FUMATUL INTERZIS”;</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FUMATUL ȘI ACCESUL CU FLACĂRĂ DESCHISĂ ESTE INTERZIS”;</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ACCESUL INTERZIS CU FLACĂRĂ DESCHISĂ”;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ESTE INTERZISĂ STINGEREA CU APĂ A CIRCUITELOR ELECTRICE”;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ACCESUL INTERZIS PERSOANELOR NEAUTORIZATE” (de exemplu, la centrala termică);</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STINGEREA ȚIGĂRII ESTE OBLIGATORIE”;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LICHID INFLAMABIL”;</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PERICOL DE EXPLOZIE”;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PERICOL DE INCENDIU”;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ATENȚIE! INFLAMABIL” (de exemplu, la cabina de gaz metan);</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DIRECȚIE DE EVACUARE”;</w:t>
      </w:r>
    </w:p>
    <w:p>
      <w:pPr>
        <w:pStyle w:val="Normal"/>
        <w:keepNext/>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ÎNTRERUPĂTOR GENERAL”;</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STINGĂTOR”;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HIDRANT”;</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ALARMĂ ANTIINCENDIU”;</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TELEFON POMPIERI”;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w:t>
      </w:r>
      <w:r>
        <w:rPr>
          <w:rFonts w:eastAsia="Arial" w:cs="Arial" w:ascii="Arial" w:hAnsi="Arial"/>
          <w:b w:val="false"/>
          <w:i w:val="false"/>
          <w:color w:val="auto"/>
          <w:spacing w:val="0"/>
          <w:w w:val="100"/>
          <w:sz w:val="20"/>
          <w:szCs w:val="20"/>
          <w:lang w:val="ro-RO"/>
        </w:rPr>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egală sau superioară energiei minime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datorită degajării fumului; mărimea compartimentelor de incendiu și posibilitatea de evacuare a căldurii și fumului și de realizare a ventilării; pagubele datorate degajării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măsurile normale (regulile generale și normele specifice) de prevenire și stingere 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măsurile speciale (instalații de semnalizare și stingere a incendiilor, mijloacele de legătură cu unitățile de intervenție, dotarea pompierilor, ignifugarea elementelor de construcție);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3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prevenire și stingere 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307/2006 privind apărarea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Legea 481/2004 privind protecția civilă;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O.U.G. 21/2004 privind Sistemul Național de Management al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163/2007 pentru aprobarea Normelor generale de apărare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712/2005 pentru aprobarea Dispozițiilor generale privind instruirea salariaților în domeniul situațiilor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1184/2006 pentru aprobarea Normelor privind organizarea și asigurarea activității de evacuare în situații de urgență;</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187/2010 pentru aprobarea Dispozițiilor generale privind apărarea împotriva incendiilor la spații pentru comerț;</w:t>
      </w:r>
    </w:p>
    <w:p>
      <w:pPr>
        <w:pStyle w:val="Normal"/>
        <w:keepNext w:val="false"/>
        <w:pageBreakBefore w:val="false"/>
        <w:widowControl/>
        <w:bidi w:val="0"/>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cs="Arial"/>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62</Pages>
  <Words>31014</Words>
  <Characters>186398</Characters>
  <CharactersWithSpaces>215610</CharactersWithSpaces>
  <Paragraphs>1570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2026-10-10T12:02:42Z</dcterms:modified>
  <cp:revision>1</cp:revision>
  <dc:subject/>
  <dc:title/>
</cp:coreProperties>
</file>