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z w:val="20"/>
          <w:szCs w:val="20"/>
          <w:lang w:val="ro-RO"/>
        </w:rPr>
        <w:t xml:space="preserve"> {{client.representativeRole}}</w:t>
      </w:r>
      <w:r>
        <w:rPr>
          <w:rFonts w:eastAsia="Arial" w:cs="Arial" w:ascii="Arial" w:hAnsi="Arial"/>
          <w:color w:val="auto"/>
          <w:sz w:val="20"/>
          <w:szCs w:val="20"/>
          <w:lang w:val="ro-RO"/>
        </w:rPr>
        <w:t xml:space="preserve"> în cadrul </w:t>
      </w:r>
      <w:r>
        <w:rPr>
          <w:rFonts w:eastAsia="Arial" w:cs="Arial" w:ascii="Arial" w:hAnsi="Arial"/>
          <w:color w:val="auto"/>
          <w:sz w:val="20"/>
          <w:szCs w:val="20"/>
          <w:lang w:val="ro-RO"/>
        </w:rPr>
        <w:t>{{cli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Efectuarea instruirilor în domeniul securității și sănătății în muncă la personalul angajat al {{cl</w:t>
      </w:r>
      <w:r>
        <w:rPr>
          <w:rStyle w:val="PageNumber"/>
          <w:rFonts w:eastAsia="Arial" w:cs="Arial" w:ascii="Arial" w:hAnsi="Arial"/>
          <w:color w:val="auto"/>
          <w:sz w:val="20"/>
          <w:szCs w:val="20"/>
          <w:lang w:val="ro-RO"/>
        </w:rPr>
        <w:t>ient.legalName}}</w:t>
      </w:r>
      <w:r>
        <w:rPr>
          <w:rFonts w:eastAsia="Arial" w:cs="Arial" w:ascii="Arial" w:hAnsi="Arial"/>
          <w:color w:val="auto"/>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{{#workplaceManagers}</w:t>
      </w:r>
      <w:r>
        <w:rPr>
          <w:rFonts w:eastAsia="Arial" w:cs="Arial" w:ascii="Arial" w:hAnsi="Arial"/>
          <w:color w:val="auto"/>
          <w:sz w:val="20"/>
          <w:szCs w:val="20"/>
          <w:lang w:val="ro-RO"/>
        </w:rPr>
        <w:t>}</w:t>
      </w:r>
      <w:r>
        <w:rPr>
          <w:rFonts w:eastAsia="Arial" w:cs="Arial" w:ascii="Arial" w:hAnsi="Arial"/>
          <w:color w:val="auto"/>
          <w:sz w:val="20"/>
          <w:szCs w:val="20"/>
          <w:lang w:val="ro-RO"/>
        </w:rPr>
        <w:t xml:space="preserve">{{name}}, având </w:t>
      </w:r>
      <w:r>
        <w:rPr>
          <w:rFonts w:eastAsia="Arial" w:cs="Arial" w:ascii="Arial" w:hAnsi="Arial"/>
          <w:color w:val="auto"/>
          <w:sz w:val="20"/>
          <w:szCs w:val="20"/>
          <w:lang w:val="ro-RO"/>
        </w:rPr>
        <w:t>funcția de {{jobT</w:t>
      </w:r>
      <w:r>
        <w:rPr>
          <w:rFonts w:eastAsia="Arial" w:cs="Arial" w:ascii="Arial" w:hAnsi="Arial"/>
          <w:color w:val="auto"/>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b/>
          <w:bCs/>
          <w:color w:val="auto"/>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Instruirea în domeniul securității și sănătății în muncă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introductiv-generală</w:t>
      </w:r>
      <w:r>
        <w:rPr>
          <w:rStyle w:val="tpa1"/>
          <w:rFonts w:eastAsia="Arial" w:cs="Arial" w:ascii="Arial" w:hAnsi="Arial"/>
          <w:color w:val="auto"/>
          <w:sz w:val="20"/>
          <w:szCs w:val="20"/>
          <w:lang w:val="ro-RO"/>
        </w:rPr>
        <w:t>:</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Conf. H.G. 767/ 2016 - Durata instruirii introductiv-generale nu va fi mai mică de 4 ore;</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al1"/>
          <w:rFonts w:eastAsia="Arial" w:cs="Arial" w:ascii="Arial" w:hAnsi="Arial"/>
          <w:b/>
          <w:color w:val="auto"/>
          <w:sz w:val="20"/>
          <w:szCs w:val="20"/>
          <w:lang w:val="ro-RO"/>
        </w:rPr>
        <w:t>la locul de muncă</w:t>
      </w:r>
      <w:r>
        <w:rPr>
          <w:rStyle w:val="tpa1"/>
          <w:rFonts w:eastAsia="Arial" w:cs="Arial" w:ascii="Arial" w:hAnsi="Arial"/>
          <w:color w:val="auto"/>
          <w:sz w:val="20"/>
          <w:szCs w:val="20"/>
          <w:lang w:val="ro-RO"/>
        </w:rPr>
        <w:t>:</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Conf. H.G. 767/ 2016 pct.4 - Durata instruirii la locul de muncă nu va fi mai mică de 4 ore;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z w:val="20"/>
          <w:szCs w:val="20"/>
          <w:lang w:val="ro-RO"/>
        </w:rPr>
        <w:t>Instruirea la locul de muncă se face tuturor lucrătorilor prevăzuți la art. 83</w:t>
      </w:r>
      <w:r>
        <w:rPr>
          <w:rFonts w:eastAsia="Arial" w:cs="Arial" w:ascii="Arial" w:hAnsi="Arial"/>
          <w:i/>
          <w:color w:val="auto"/>
          <w:sz w:val="20"/>
          <w:szCs w:val="20"/>
          <w:lang w:val="ro-RO"/>
        </w:rPr>
        <w:t xml:space="preserve"> din H.G. 1425/ 2006</w:t>
      </w:r>
      <w:r>
        <w:rPr>
          <w:rStyle w:val="tal1"/>
          <w:rFonts w:eastAsia="Arial" w:cs="Arial" w:ascii="Arial" w:hAnsi="Arial"/>
          <w:color w:val="auto"/>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periodică</w:t>
      </w:r>
      <w:r>
        <w:rPr>
          <w:rStyle w:val="tpa1"/>
          <w:rFonts w:eastAsia="Arial" w:cs="Arial" w:ascii="Arial" w:hAnsi="Arial"/>
          <w:color w:val="auto"/>
          <w:sz w:val="20"/>
          <w:szCs w:val="20"/>
          <w:lang w:val="ro-RO"/>
        </w:rPr>
        <w:t>:</w:t>
      </w:r>
    </w:p>
    <w:p>
      <w:pPr>
        <w:pStyle w:val="Normal"/>
        <w:widowControl/>
        <w:numPr>
          <w:ilvl w:val="0"/>
          <w:numId w:val="13"/>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Se face tuturor lucrătorilor prevăzuți la art. 83 </w:t>
      </w:r>
      <w:r>
        <w:rPr>
          <w:rFonts w:eastAsia="Arial" w:cs="Arial" w:ascii="Arial" w:hAnsi="Arial"/>
          <w:i/>
          <w:color w:val="auto"/>
          <w:sz w:val="20"/>
          <w:szCs w:val="20"/>
          <w:lang w:val="ro-RO"/>
        </w:rPr>
        <w:t xml:space="preserve">din H.G. 1425/ 2006 </w:t>
      </w:r>
      <w:r>
        <w:rPr>
          <w:rStyle w:val="tpa1"/>
          <w:rFonts w:eastAsia="Arial" w:cs="Arial" w:ascii="Arial" w:hAnsi="Arial"/>
          <w:color w:val="auto"/>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 xml:space="preserve">Conf. H.G. 767/ 2016, pct. 6) În cadrul {{client.legalName}}, </w:t>
      </w:r>
      <w:r>
        <w:rPr>
          <w:rStyle w:val="spar"/>
          <w:rFonts w:eastAsia="Arial" w:cs="Arial" w:ascii="Arial" w:hAnsi="Arial"/>
          <w:color w:val="auto"/>
          <w:sz w:val="20"/>
          <w:szCs w:val="20"/>
          <w:shd w:fill="FFFFFF" w:val="clear"/>
          <w:lang w:val="ro-RO"/>
        </w:rPr>
        <w:t>durata instruirii periodice</w:t>
      </w:r>
      <w:r>
        <w:rPr>
          <w:rFonts w:eastAsia="Arial" w:cs="Arial" w:ascii="Arial" w:hAnsi="Arial"/>
          <w:color w:val="auto"/>
          <w:sz w:val="20"/>
          <w:szCs w:val="20"/>
          <w:lang w:val="ro-RO"/>
        </w:rPr>
        <w:t xml:space="preserve"> va fi de </w:t>
      </w:r>
      <w:r>
        <w:rPr>
          <w:rFonts w:eastAsia="Arial" w:cs="Arial" w:ascii="Arial" w:hAnsi="Arial"/>
          <w:b/>
          <w:color w:val="auto"/>
          <w:sz w:val="20"/>
          <w:szCs w:val="20"/>
          <w:lang w:val="ro-RO"/>
        </w:rPr>
        <w:t>{{training.periodicDuration}}</w:t>
      </w:r>
      <w:r>
        <w:rPr>
          <w:rFonts w:eastAsia="Arial" w:cs="Arial" w:ascii="Arial" w:hAnsi="Arial"/>
          <w:color w:val="auto"/>
          <w:sz w:val="20"/>
          <w:szCs w:val="20"/>
          <w:lang w:val="ro-RO"/>
        </w:rPr>
        <w:t>;</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Având în vedere specificul activităților desfășurate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conform prevederilor din </w:t>
      </w:r>
      <w:r>
        <w:rPr>
          <w:rFonts w:eastAsia="Arial" w:cs="Arial" w:ascii="Arial" w:hAnsi="Arial"/>
          <w:i/>
          <w:color w:val="auto"/>
          <w:sz w:val="20"/>
          <w:szCs w:val="20"/>
          <w:lang w:val="ro-RO"/>
        </w:rPr>
        <w:t>HG 1425/2006, Art. 96, alin (2)</w:t>
      </w:r>
      <w:r>
        <w:rPr>
          <w:rFonts w:eastAsia="Arial" w:cs="Arial" w:ascii="Arial" w:hAnsi="Arial"/>
          <w:color w:val="auto"/>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 xml:space="preserve">personalul tehnic-administrativ </w:t>
      </w:r>
      <w:r>
        <w:rPr>
          <w:rFonts w:eastAsia="Arial" w:cs="Arial" w:ascii="Arial" w:hAnsi="Arial"/>
          <w:color w:val="auto"/>
          <w:sz w:val="20"/>
          <w:szCs w:val="20"/>
          <w:lang w:val="ro-RO"/>
        </w:rPr>
        <w:t xml:space="preserve">și șefii de locuri de muncă, va fi instruit </w:t>
      </w:r>
      <w:r>
        <w:rPr>
          <w:rFonts w:eastAsia="Arial" w:cs="Arial" w:ascii="Arial" w:hAnsi="Arial"/>
          <w:b/>
          <w:bCs/>
          <w:color w:val="auto"/>
          <w:sz w:val="20"/>
          <w:szCs w:val="20"/>
          <w:lang w:val="ro-RO"/>
        </w:rPr>
        <w:t>{{training.administrativeFrequency}}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t>
      </w:r>
      <w:r>
        <w:rPr>
          <w:rFonts w:eastAsia="Arial" w:cs="Arial" w:ascii="Arial" w:hAnsi="Arial"/>
          <w:b/>
          <w:bCs/>
          <w:color w:val="auto"/>
          <w:sz w:val="20"/>
          <w:szCs w:val="20"/>
          <w:lang w:val="ro-RO"/>
        </w:rPr>
        <w:t xml:space="preserve">.administrativeMonths}},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personalul de execuție,</w:t>
      </w:r>
      <w:r>
        <w:rPr>
          <w:rFonts w:eastAsia="Arial" w:cs="Arial" w:ascii="Arial" w:hAnsi="Arial"/>
          <w:color w:val="auto"/>
          <w:sz w:val="20"/>
          <w:szCs w:val="20"/>
          <w:lang w:val="ro-RO"/>
        </w:rPr>
        <w:t xml:space="preserve"> va fi instruit </w:t>
      </w:r>
      <w:r>
        <w:rPr>
          <w:rFonts w:eastAsia="Arial" w:cs="Arial" w:ascii="Arial" w:hAnsi="Arial"/>
          <w:b/>
          <w:bCs/>
          <w:color w:val="auto"/>
          <w:sz w:val="20"/>
          <w:szCs w:val="20"/>
          <w:lang w:val="ro-RO"/>
        </w:rPr>
        <w:t>{{training.workerFrequency}}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w:t>
      </w:r>
      <w:r>
        <w:rPr>
          <w:rFonts w:eastAsia="Arial" w:cs="Arial" w:ascii="Arial" w:hAnsi="Arial"/>
          <w:b/>
          <w:bCs/>
          <w:color w:val="auto"/>
          <w:sz w:val="20"/>
          <w:szCs w:val="20"/>
          <w:lang w:val="ro-RO"/>
        </w:rPr>
        <w:t xml:space="preserve">orkerMonths}},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10"/>
        </w:numPr>
        <w:spacing w:before="0" w:after="40"/>
        <w:jc w:val="left"/>
        <w:rPr>
          <w:rStyle w:val="tpa1"/>
          <w:rFonts w:ascii="Arial" w:hAnsi="Arial" w:cs="Arial"/>
          <w:sz w:val="20"/>
          <w:szCs w:val="20"/>
        </w:rPr>
      </w:pPr>
      <w:r>
        <w:rPr>
          <w:rFonts w:eastAsia="Arial" w:cs="Arial" w:ascii="Arial" w:hAnsi="Arial"/>
          <w:color w:val="auto"/>
          <w:sz w:val="20"/>
          <w:szCs w:val="20"/>
          <w:lang w:val="ro-RO"/>
        </w:rPr>
        <w:t>I</w:t>
      </w:r>
      <w:r>
        <w:rPr>
          <w:rStyle w:val="tpa1"/>
          <w:rFonts w:eastAsia="Arial" w:cs="Arial" w:ascii="Arial" w:hAnsi="Arial"/>
          <w:color w:val="auto"/>
          <w:sz w:val="20"/>
          <w:szCs w:val="20"/>
          <w:lang w:val="ro-RO"/>
        </w:rPr>
        <w:t>nstruirea</w:t>
      </w:r>
      <w:r>
        <w:rPr>
          <w:rStyle w:val="tpa1"/>
          <w:rFonts w:eastAsia="Arial" w:cs="Arial" w:ascii="Arial" w:hAnsi="Arial"/>
          <w:b/>
          <w:color w:val="auto"/>
          <w:sz w:val="20"/>
          <w:szCs w:val="20"/>
          <w:lang w:val="ro-RO"/>
        </w:rPr>
        <w:t xml:space="preserve"> periodică se face suplimentar </w:t>
      </w:r>
      <w:r>
        <w:rPr>
          <w:rStyle w:val="tpa1"/>
          <w:rFonts w:eastAsia="Arial" w:cs="Arial" w:ascii="Arial" w:hAnsi="Arial"/>
          <w:color w:val="auto"/>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oricărei noi tehnologii sau a unor proceduri de lucru.</w:t>
      </w:r>
    </w:p>
    <w:p>
      <w:pPr>
        <w:pStyle w:val="Heading1"/>
        <w:widowControl/>
        <w:numPr>
          <w:ilvl w:val="0"/>
          <w:numId w:val="12"/>
        </w:numPr>
        <w:spacing w:before="0" w:after="40"/>
        <w:ind w:right="0"/>
        <w:jc w:val="left"/>
        <w:rPr>
          <w:rStyle w:val="spar"/>
          <w:rFonts w:ascii="Arial" w:hAnsi="Arial" w:cs="Arial"/>
          <w:i/>
          <w:sz w:val="20"/>
          <w:szCs w:val="20"/>
        </w:rPr>
      </w:pPr>
      <w:r>
        <w:rPr>
          <w:rFonts w:eastAsia="Arial" w:cs="Arial" w:ascii="Arial" w:hAnsi="Arial"/>
          <w:i/>
          <w:color w:val="auto"/>
          <w:sz w:val="20"/>
          <w:szCs w:val="20"/>
          <w:lang w:val="ro-RO"/>
        </w:rPr>
        <w:t>(Preluare din H.G. 1425/ 2006 – Instruirea lucrătorilor – Art. 99 – conf. H.G. 767/ 2016, pct. 6)</w:t>
      </w:r>
      <w:r>
        <w:rPr>
          <w:rFonts w:eastAsia="Arial" w:cs="Arial" w:ascii="Arial" w:hAnsi="Arial"/>
          <w:color w:val="auto"/>
          <w:sz w:val="20"/>
          <w:szCs w:val="20"/>
          <w:lang w:val="ro-RO"/>
        </w:rPr>
        <w:t xml:space="preserve"> În cadrul {{client.legalName}}, </w:t>
      </w:r>
      <w:r>
        <w:rPr>
          <w:rStyle w:val="spar"/>
          <w:rFonts w:eastAsia="Arial" w:cs="Arial" w:ascii="Arial" w:hAnsi="Arial"/>
          <w:color w:val="auto"/>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z w:val="20"/>
          <w:szCs w:val="20"/>
          <w:lang w:val="ro-RO"/>
        </w:rPr>
        <w:t xml:space="preserve">Durata instruirii suplimentare va fi de </w:t>
      </w:r>
      <w:r>
        <w:rPr>
          <w:rFonts w:eastAsia="Arial" w:cs="Arial" w:ascii="Arial" w:hAnsi="Arial"/>
          <w:b/>
          <w:color w:val="auto"/>
          <w:sz w:val="20"/>
          <w:szCs w:val="20"/>
          <w:lang w:val="ro-RO"/>
        </w:rPr>
        <w:t>4 ore</w:t>
      </w:r>
      <w:r>
        <w:rPr>
          <w:rFonts w:eastAsia="Arial" w:cs="Arial" w:ascii="Arial" w:hAnsi="Arial"/>
          <w:color w:val="auto"/>
          <w:sz w:val="20"/>
          <w:szCs w:val="20"/>
          <w:lang w:val="ro-RO"/>
        </w:rPr>
        <w:t>;</w:t>
      </w:r>
    </w:p>
    <w:p>
      <w:pPr>
        <w:pStyle w:val="Heading1"/>
        <w:widowControl/>
        <w:numPr>
          <w:ilvl w:val="0"/>
          <w:numId w:val="12"/>
        </w:numPr>
        <w:spacing w:before="0" w:after="40"/>
        <w:ind w:right="0"/>
        <w:jc w:val="left"/>
        <w:rPr>
          <w:rFonts w:ascii="Arial" w:hAnsi="Arial" w:cs="Arial"/>
          <w:i/>
          <w:sz w:val="20"/>
          <w:szCs w:val="20"/>
        </w:rPr>
      </w:pPr>
      <w:r>
        <w:rPr>
          <w:rFonts w:eastAsia="Arial" w:cs="Arial" w:ascii="Arial" w:hAnsi="Arial"/>
          <w:i/>
          <w:color w:val="auto"/>
          <w:sz w:val="20"/>
          <w:szCs w:val="20"/>
          <w:lang w:val="ro-RO"/>
        </w:rPr>
        <w:t>(Preluare din H.G. 1425/ 2006 –Art. 100)</w:t>
      </w:r>
      <w:r>
        <w:rPr>
          <w:rFonts w:eastAsia="Arial" w:cs="Arial" w:ascii="Arial" w:hAnsi="Arial"/>
          <w:color w:val="auto"/>
          <w:sz w:val="20"/>
          <w:szCs w:val="20"/>
          <w:lang w:val="ro-RO"/>
        </w:rPr>
        <w:t xml:space="preserve"> În cadrul {{client.legalName}}, i</w:t>
      </w:r>
      <w:r>
        <w:rPr>
          <w:rStyle w:val="tpa1"/>
          <w:rFonts w:eastAsia="Arial" w:cs="Arial" w:ascii="Arial" w:hAnsi="Arial"/>
          <w:color w:val="auto"/>
          <w:sz w:val="20"/>
          <w:szCs w:val="20"/>
          <w:lang w:val="ro-RO"/>
        </w:rPr>
        <w:t xml:space="preserve">nstruirea periodică suplimentară se va efectua pe baza tematicilor </w:t>
      </w:r>
      <w:r>
        <w:rPr>
          <w:rStyle w:val="tal1"/>
          <w:rFonts w:eastAsia="Arial" w:cs="Arial" w:ascii="Arial" w:hAnsi="Arial"/>
          <w:color w:val="auto"/>
          <w:sz w:val="20"/>
          <w:szCs w:val="20"/>
          <w:lang w:val="ro-RO"/>
        </w:rPr>
        <w:t>întocmite de către serviciul extern de prevenire și protecție – {{provider.legalName}} și aprobate de către angajator</w:t>
      </w:r>
      <w:r>
        <w:rPr>
          <w:rStyle w:val="tpa1"/>
          <w:rFonts w:eastAsia="Arial" w:cs="Arial" w:ascii="Arial" w:hAnsi="Arial"/>
          <w:color w:val="auto"/>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Verificarea cunoștințelor angajaților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z w:val="20"/>
          <w:szCs w:val="20"/>
          <w:lang w:val="ro-RO"/>
        </w:rPr>
        <w:t>{{cli</w:t>
      </w:r>
      <w:r>
        <w:rPr>
          <w:rStyle w:val="PageNumber"/>
          <w:rFonts w:eastAsia="Arial" w:cs="Arial" w:ascii="Arial" w:hAnsi="Arial"/>
          <w:b/>
          <w:color w:val="auto"/>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z w:val="20"/>
          <w:szCs w:val="20"/>
          <w:lang w:val="ro-RO"/>
        </w:rPr>
        <w:t>Prin semnătura din tabelul nominal de mai jos, fiecare persoană des</w:t>
      </w:r>
      <w:r>
        <w:rPr>
          <w:rFonts w:eastAsia="Arial" w:cs="Arial" w:ascii="Arial" w:hAnsi="Arial"/>
          <w:color w:val="auto"/>
          <w:sz w:val="20"/>
          <w:szCs w:val="20"/>
          <w:lang w:val="ro-RO"/>
        </w:rPr>
        <w:t>e</w:t>
      </w:r>
      <w:r>
        <w:rPr>
          <w:rStyle w:val="tpa1"/>
          <w:rFonts w:eastAsia="Arial" w:cs="Arial" w:ascii="Arial" w:hAnsi="Arial"/>
          <w:color w:val="auto"/>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u w:val="none"/>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z w:val="2"/>
          <w:szCs w:val="20"/>
          <w:lang w:val="ro-RO"/>
        </w:rPr>
      </w:r>
    </w:p>
    <w:sectPr>
      <w:footerReference w:type="even" r:id="rId2"/>
      <w:type w:val="nextPage"/>
      <w:pgSz w:w="11906" w:h="16838"/>
      <w:pgMar w:left="1417"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b/>
        <w:sz w:val="16"/>
      </w:rPr>
    </w:pPr>
    <w:r>
      <w:rPr>
        <w:b/>
        <w:sz w:val="16"/>
      </w:rPr>
    </w:r>
  </w:p>
  <w:p>
    <w:pPr>
      <w:pStyle w:val="Footer"/>
      <w:rPr/>
    </w:pPr>
    <w:r>
      <w:rPr/>
    </w:r>
  </w:p>
  <w:p>
    <w:pPr>
      <w:pStyle w:val="Footer"/>
      <w:rPr>
        <w:rStyle w:val="PageNumber"/>
        <w:sz w:val="16"/>
        <w:lang w:val="de-D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color w:val="92D050"/>
        <w:sz w:val="18"/>
        <w:szCs w:val="18"/>
        <w:lang w:val="it-CH"/>
      </w:rPr>
    </w:lvl>
    <w:lvl w:ilvl="1">
      <w:start w:val="1"/>
      <w:numFmt w:val="decimal"/>
      <w:lvlText w:val="Art. %2."/>
      <w:lvlJc w:val="left"/>
      <w:pPr>
        <w:tabs>
          <w:tab w:val="num" w:pos="2160"/>
        </w:tabs>
        <w:ind w:left="1080" w:hanging="0"/>
      </w:pPr>
      <w:rPr>
        <w:rFonts w:ascii="Arial" w:hAnsi="Arial" w:cs="Arial"/>
        <w:b/>
        <w:i w:val="false"/>
        <w:color w:val="FF0000"/>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lang w:val="it-CH"/>
      </w:rPr>
    </w:lvl>
    <w:lvl w:ilvl="3">
      <w:start w:val="1"/>
      <w:numFmt w:val="decimal"/>
      <w:lvlText w:val="%4."/>
      <w:lvlJc w:val="left"/>
      <w:pPr>
        <w:tabs>
          <w:tab w:val="num" w:pos="360"/>
        </w:tabs>
        <w:ind w:left="360" w:hanging="360"/>
      </w:pPr>
      <w:rPr>
        <w:b/>
        <w:i w:val="false"/>
        <w:color w:val="000000"/>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color w:val="8F0000"/>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evenAndOddHeaders/>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color w:val="000000"/>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color w:val="92D050"/>
      <w:sz w:val="18"/>
      <w:szCs w:val="18"/>
      <w:lang w:val="it-CH"/>
    </w:rPr>
  </w:style>
  <w:style w:type="character" w:styleId="WW8Num11z1">
    <w:name w:val="WW8Num11z1"/>
    <w:rPr>
      <w:rFonts w:ascii="Arial" w:hAnsi="Arial" w:cs="Arial"/>
      <w:b/>
      <w:i w:val="false"/>
      <w:color w:val="FF0000"/>
      <w:sz w:val="20"/>
      <w:szCs w:val="20"/>
      <w:lang w:val="es-ES_tradnl"/>
    </w:rPr>
  </w:style>
  <w:style w:type="character" w:styleId="WW8Num11z2">
    <w:name w:val="WW8Num11z2"/>
    <w:rPr>
      <w:rFonts w:ascii="Times New Roman" w:hAnsi="Times New Roman" w:cs="Times New Roman"/>
      <w:b/>
      <w:i w:val="false"/>
      <w:color w:val="000000"/>
      <w:sz w:val="18"/>
      <w:szCs w:val="18"/>
      <w:lang w:val="it-CH"/>
    </w:rPr>
  </w:style>
  <w:style w:type="character" w:styleId="WW8Num11z3">
    <w:name w:val="WW8Num11z3"/>
    <w:rPr>
      <w:b/>
      <w:i w:val="false"/>
      <w:color w:val="000000"/>
      <w:sz w:val="18"/>
      <w:szCs w:val="18"/>
      <w:lang w:val="it-CH"/>
    </w:rPr>
  </w:style>
  <w:style w:type="character" w:styleId="WW8Num11z4">
    <w:name w:val="WW8Num11z4"/>
    <w:rPr>
      <w:b/>
    </w:rPr>
  </w:style>
  <w:style w:type="character" w:styleId="WW8Num11z5">
    <w:name w:val="WW8Num11z5"/>
    <w:rPr>
      <w:b/>
      <w:color w:val="8F0000"/>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color w:val="008F00"/>
    </w:rPr>
  </w:style>
  <w:style w:type="character" w:styleId="spar">
    <w:name w:val="s_par"/>
    <w:basedOn w:val="DefaultParagraphFont"/>
    <w:rPr/>
  </w:style>
  <w:style w:type="character" w:styleId="slitbdy">
    <w:name w:val="s_lit_bdy"/>
    <w:basedOn w:val="DefaultParagraphFont"/>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1031</Words>
  <Characters>6306</Characters>
  <CharactersWithSpaces>7226</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2026-09-18T23:09:31Z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