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punctele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Prin structuri cu atribuții de prevenire și protecție se înțeleg lucrătorii desemnați și serviciul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Serviciul extern de prevenire și protecție va efectua controale interne ori de câte ori consideră necesară efectuarea unui control intern, dar perioada de timp între două controale nu va depăși 3 luni;</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 xml:space="preserve">șefii locurilor de muncă vor efectua controale interne săptămânale vizuale la locurile de muncă pe care le conduc și în zona în care își desfășoară activitatea și vor transmite neregulile constatate către șeful ierarhic superior și / sau către angajator sau persoana desemnată de acesta.</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Controalele interne efectuate de către lucrătorul desemnat sau de către serviciul intern sau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keepNext/>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se aduc la cunoștința serviciului intern sau extern de prevenire și protecție, șefului direct și, dacă este cazul, persoanei responsabile cu întreținerea.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centralizate de serviciul intern sau extern de prevenire și protecție, vor fi prezentate periodic (lunar sau trimestrial) în sinteza Directorului General și în funcție de importanța încălcării, imediat ce ia la cunoștință despre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Propuneri de sancțiuni și stimulente pentru lucrători pe criteriul îndeplinirii atribuțiilor în domeniul securității și sănătății în muncă. Aceste propuneri vor fi efectuate de către șeful ierarhic superior, către serviciul intern sau extern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ale echipamentelor de muncă din dotare vor fi transmise de urgență către șeful ierarhic superior, către persoana responsabilă cu întreținerea sau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privind lipsa, deteriorarea sau necesitatea de noi mijloace de semnalizare vor fi transmise de urgență către șeful ierarhic superior și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Trimestrial, activitatea de prevenire și protecție și rezultatul controalelor efectuate de către structurile cu atribuții de prevenire și protecție se analizează în cadrul ședinței Comitetului de securitate și sănătate în muncă, acolo unde acesta este constituit, sau de către angajator.</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efectua controale de verificare internă, controale prin care se verifică: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respectarea măsurilor de prevenire și protecție și a cerințelor minime în domeniul ISCIR și AMC conform prevederilor art. 15 din H.G. 1425/ 2006, modificată și completată;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3"/>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prezenta TRIMESTRIAL un raport de activitate prin care va sintetiza activitatea desfășurată, constatări făcute și acțiuni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Neconformitățile constatate vor fi analizate în cadrul ședințelor Comitetului de securitate și sănătate în muncă, acolo unde acesta este constituit, sau de către angajator, iar măsurile de prevenire și protecție vor fi hotărâte de către Directorul General, prin consultare cu membrii Comitetului de securitate și sănătate în muncă, acolo unde acesta este constituit, și cu șefii locurilor de muncă.</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Măsurile de prevenire și protecție vor fi aduse la cunoștința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Persoana responsabilă cu întreținerea va efectua inspecții zilnice și săptămânale conform unui grafic propriu,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850"/>
        </w:tabs>
        <w:ind w:left="0" w:hanging="0"/>
      </w:pPr>
      <w:rPr>
        <w:rFonts w:ascii="Arial" w:hAnsi="Arial" w:cs="Arial"/>
        <w:b/>
        <w:sz w:val="20"/>
        <w:szCs w:val="20"/>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