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 2006 Art. 11, alin. (1), lit. b) și din H.G. 1425/ 2006 Art. 103, alin. (1)–(5), {{client.representativeName}},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oprirea echipamentului de muncă și/ sau a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asumă, în calitate de personal desemnat,{{/workplaceManagersAssumeImminentDanger}}{{#workplaceManagersAssumeAndDesignateImminentDanger}}își asumă rolul de personal desemnat și desemnează pe {{imminentDangerOthersText}}, cu{{/workplaceManagersAssumeAndDesignateImminentDanger}}{{#workplaceManagersDesignateImminentDanger}}desemnează pe {{imminentDangerText}}, cu{{/workplaceManagersDesignateImminentDanger}}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