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812/1985,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Obligativitatea evaluării riscurilor la locurile de muncă în țara noastră decurge din legislația actuală în domeniu, care a fost armonizată cu legislația Uniunii Europene privind sănătatea și securitatea în muncă. În Legea 319/2006 a securității și sănătății în muncă se prevede la art. 7 alin.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alin.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Normele metodologice de aplicare a Legii 319/2006 la art. 15 alin.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al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societății până la data de {{issueDate}}, ponderea evenimentelor de muncă ce au avut loc în societate,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în funcție de gravitate și probabilitate, standardul CEI 812/1985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atribuirea nivelurilor de risc în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natura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punctul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cele trei cazuri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Mai întâi, deoarece gravitatea este un element mai important din punctul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prin cele două puncte astfel stabilite o curbă având alura curbei de acceptabilitate stabilită prin CEI 812/1985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Autorii metodei elaborate în cadrul I.N.C.D.P.M. București consideră că pentru țara noastră ar fi indicat ca nivelul de risc maxim acceptabil să corespundă nivelului 3,5. Aceasta ar însemna în primul rând ca autorizarea de funcționare a agenților economici din punctul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 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 b prezentat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 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keepNext/>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obținut în urma procedurilor anterioare se identifică în Grila de evaluare a riscurilor (Anexa 4) și se înscrie în Fișa locului de muncă (capitolul V, punctul III al fiecărei evaluări). Cu ajutorul scalei de încadrare a nivelurilor de risc/ securitate se determină apoi aceste niveluri pentru fiecare factor de risc în parte. Se obține astfel o ierarhizare a dimensiunii riscurilor la locul de muncă, ceea ce dă posibilitatea stabilirii unei priorități a măsurilor de prevenire și protecție, în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xml:space="preserve">) pe loc de muncă se identifică pe Scala de încadrare a nivelurilor de risc/ 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stabilirea măsurilor necesare îmbunătățirii nivelului de securitate a sistemului de muncă analizat se impune luarea în considerare a ierarhiei riscurilor evaluate, conform Scalei de încadrare a nivelurilor de risc/ 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 xml:space="preserve">consecințe reversibile cu o incapacitate de muncă previzibilă între 45 – 180 zile care necesită tratament medical și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nr. 319/2006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xml:space="preserve">/2006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nr. 319/2006.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 xml:space="preserve">III. FIȘA DE EVALUARE A RISCURILOR DE ACCIDENTARE ȘI/ 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Completarea semnalizării de securitate și/ 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adecvată, câte 2 – 4 litri/ persoană/ schimb); perioada rece (ceai fierbinte, în cantitate de 0,5 – 1 litru/ persoană/ schimb);</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