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prezentului material informativ, s-au predat și următoarele documente:</w:t>
      </w:r>
    </w:p>
    <w:tbl>
      <w:tblPr>
        <w:tblW w:w="5000" w:type="pct"/>
        <w:jc w:val="left"/>
        <w:tblInd w:w="55" w:type="dxa"/>
        <w:tblLayout w:type="fixed"/>
        <w:tblCellMar>
          <w:top w:w="55" w:type="dxa"/>
          <w:left w:w="55" w:type="dxa"/>
          <w:bottom w:w="55" w:type="dxa"/>
          <w:right w:w="55" w:type="dxa"/>
        </w:tblCellMar>
      </w:tblPr>
      <w:tblGrid>
        <w:gridCol w:w="654"/>
        <w:gridCol w:w="6081"/>
        <w:gridCol w:w="1310"/>
        <w:gridCol w:w="1310"/>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08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document</w:t>
            </w:r>
          </w:p>
        </w:tc>
        <w:tc>
          <w:tcPr>
            <w:tcW w:w="13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Situație existentă</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Codificare</w:t>
            </w:r>
          </w:p>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document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instruirea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acordare primului ajutor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de constituire echipa de evaluare a riscurilor de accidentare și/ sau îmbolnăvire profesională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Registre de evidența a evenimentelor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privind instruirea lucrătorilor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Tematicile pentru toate fazele de instruire și programul de instruire – testare la nivelul unității, conform cu periodicitatea adecvat stabilită pentru fiecare loc de muncă / post de lucru</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angajare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TASSM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anual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Document justificativ de control, privind verificarea tematică la locurile de muncă, informare deficiențe constatate și propuneri de măsuri de prevenire și protecție</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îmbolnăvire profesională pentru locurile de muncă (Descrierea metodei elaborate de I.N.C.D.P.M București, utilizată de evaluator)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 întocmit în baza evaluării riscurilor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tbl>
      <w:tblPr>
        <w:tblW w:w="5000" w:type="pct"/>
        <w:jc w:val="left"/>
        <w:tblInd w:w="55" w:type="dxa"/>
        <w:tblLayout w:type="fixed"/>
        <w:tblCellMar>
          <w:top w:w="55" w:type="dxa"/>
          <w:left w:w="55" w:type="dxa"/>
          <w:bottom w:w="55" w:type="dxa"/>
          <w:right w:w="55" w:type="dxa"/>
        </w:tblCellMar>
      </w:tblPr>
      <w:tblGrid>
        <w:gridCol w:w="654"/>
        <w:gridCol w:w="1029"/>
        <w:gridCol w:w="7672"/>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02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67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material informativ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generale pentru angajator conform legii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cu până la 9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10 și 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50 și 249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Lucrătorii desemnați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Servicii externe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Reprezentanții lucrătorilor cu răspunderi specifice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instruirea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cu privire la comitetul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necesarul, întocmirea și implementarea necesarului de documentații cu caracter tehnic de informare și instruire 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fișei postului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regulamentului intern</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2007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sub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afară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boala profesională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SE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0" w:after="120"/>
        <w:ind w:hanging="0"/>
        <w:jc w:val="left"/>
        <w:rPr>
          <w:rFonts w:ascii="Arial" w:hAnsi="Arial" w:cs="Arial"/>
          <w:sz w:val="8"/>
          <w:szCs w:val="18"/>
          <w:lang w:val="pt-PT"/>
        </w:rPr>
      </w:pPr>
      <w:r>
        <w:rPr>
          <w:rFonts w:eastAsia="Arial" w:cs="Arial" w:ascii="Arial" w:hAnsi="Arial"/>
          <w:color w:val="auto"/>
          <w:spacing w:val="0"/>
          <w:w w:val="100"/>
          <w:sz w:val="20"/>
          <w:szCs w:val="20"/>
          <w:lang w:val="ro-RO"/>
        </w:rPr>
      </w:r>
    </w:p>
    <w:tbl>
      <w:tblPr>
        <w:tblW w:w="5000" w:type="pct"/>
        <w:jc w:val="left"/>
        <w:tblInd w:w="-80" w:type="dxa"/>
        <w:tblLayout w:type="fixed"/>
        <w:tblCellMar>
          <w:top w:w="17" w:type="dxa"/>
          <w:left w:w="28" w:type="dxa"/>
          <w:bottom w:w="17" w:type="dxa"/>
          <w:right w:w="28" w:type="dxa"/>
        </w:tblCellMar>
      </w:tblPr>
      <w:tblGrid>
        <w:gridCol w:w="452"/>
        <w:gridCol w:w="2205"/>
        <w:gridCol w:w="1303"/>
        <w:gridCol w:w="955"/>
        <w:gridCol w:w="1290"/>
        <w:gridCol w:w="919"/>
        <w:gridCol w:w="1311"/>
        <w:gridCol w:w="920"/>
      </w:tblGrid>
      <w:tr>
        <w:trPr>
          <w:tblHeader w:val="true"/>
          <w:trHeight w:val="140" w:hRule="atLeast"/>
        </w:trPr>
        <w:tc>
          <w:tcPr>
            <w:tcW w:w="9355" w:type="dxa"/>
            <w:gridSpan w:val="8"/>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TABEL 3. ALTE MATERIALE INFORMATIVE</w:t>
            </w:r>
          </w:p>
        </w:tc>
      </w:tr>
      <w:tr>
        <w:trPr>
          <w:trHeight w:val="46" w:hRule="atLeast"/>
        </w:trPr>
        <w:tc>
          <w:tcPr>
            <w:tcW w:w="45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205"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 informativ</w:t>
            </w:r>
          </w:p>
        </w:tc>
        <w:tc>
          <w:tcPr>
            <w:tcW w:w="6698" w:type="dxa"/>
            <w:gridSpan w:val="6"/>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trHeight w:val="46" w:hRule="atLeast"/>
        </w:trPr>
        <w:tc>
          <w:tcPr>
            <w:tcW w:w="45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PSI</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AVERTIZARE</w:t>
            </w:r>
          </w:p>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ATENȚIONARE</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OBLIGATIVITATE</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trHeight w:val="46"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PRIM AJUTOR</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95" w:right="-89"/>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Style w:val="tsp1"/>
                <w:rFonts w:eastAsia="Arial" w:cs="Arial" w:ascii="Arial" w:hAnsi="Arial"/>
                <w:b/>
                <w:color w:val="auto"/>
                <w:spacing w:val="0"/>
                <w:w w:val="100"/>
                <w:sz w:val="18"/>
                <w:szCs w:val="20"/>
                <w:lang w:val="ro-RO"/>
              </w:rPr>
              <w:t>PREVENIREA ȘI STINGEREA INCENDIILOR</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BENZI DE MARCAJ OCAZIONAT</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trHeight w:val="53" w:hRule="atLeast"/>
        </w:trPr>
        <w:tc>
          <w:tcPr>
            <w:tcW w:w="452"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698" w:type="dxa"/>
            <w:gridSpan w:val="6"/>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afisa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trebuiesc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situațiilor de urgența (conform legii 307/2007),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situațiilor de urgența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situațiilor de urgența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în domeniul situațiilor de urgența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situațiilor de urgența (conform legii 307/ 2007),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w:t>
      </w:r>
      <w:r>
        <w:rPr>
          <w:rFonts w:eastAsia="Arial" w:cs="Arial" w:ascii="Arial" w:hAnsi="Arial"/>
          <w:color w:val="auto"/>
          <w:spacing w:val="0"/>
          <w:w w:val="100"/>
          <w:sz w:val="20"/>
          <w:szCs w:val="20"/>
          <w:lang w:val="ro-RO"/>
        </w:rPr>
        <w:t xml:space="preserve">de medicina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23"/>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widowControl/>
        <w:numPr>
          <w:ilvl w:val="0"/>
          <w:numId w:val="23"/>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23"/>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23"/>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sau legal și/ sau reprezentanții sai în număr egal cu cel al reprezentanților lucrătorilor și medicul de medicina muncii, pe de altă parte.</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23"/>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23"/>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widowControl/>
        <w:numPr>
          <w:ilvl w:val="0"/>
          <w:numId w:val="2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val="false"/>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u w:val="single"/>
          <w:lang w:val="ro-RO"/>
        </w:rPr>
        <w:t>Reglementari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salariată gravidă va </w:t>
      </w:r>
      <w:r>
        <w:rPr>
          <w:rFonts w:eastAsia="Arial" w:cs="Arial" w:ascii="Arial" w:hAnsi="Arial"/>
          <w:color w:val="auto"/>
          <w:spacing w:val="0"/>
          <w:w w:val="100"/>
          <w:sz w:val="20"/>
          <w:szCs w:val="20"/>
          <w:lang w:val="ro-RO"/>
        </w:rPr>
        <w:t>anunța în scris angajatorul asupra stării sale fiziologice de graviditate, va depune în copie Anexa pentru supravegherea medicală a gravidei – document medical, completat de medic, însoțită de o cerere care conține infirmații referitoare la starea de maternitate și solicitarea de a i se aplică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salariată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salariată care alăptează, </w:t>
      </w:r>
      <w:r>
        <w:rPr>
          <w:rStyle w:val="tli1"/>
          <w:rFonts w:eastAsia="Arial" w:cs="Arial" w:ascii="Arial" w:hAnsi="Arial"/>
          <w:color w:val="auto"/>
          <w:spacing w:val="0"/>
          <w:w w:val="100"/>
          <w:sz w:val="20"/>
          <w:szCs w:val="20"/>
          <w:lang w:val="ro-RO"/>
        </w:rPr>
        <w:t>la reluarea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salariată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natură,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salariată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