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funcții de încadrare și activitatea desfășurată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108" w:type="dxa"/>
        <w:tblLayout w:type="fixed"/>
        <w:tblCellMar>
          <w:top w:w="17" w:type="dxa"/>
          <w:left w:w="108" w:type="dxa"/>
          <w:bottom w:w="17" w:type="dxa"/>
          <w:right w:w="108" w:type="dxa"/>
        </w:tblCellMar>
      </w:tblPr>
      <w:tblGrid>
        <w:gridCol w:w="727"/>
        <w:gridCol w:w="4525"/>
        <w:gridCol w:w="4737"/>
        <w:gridCol w:w="4298"/>
      </w:tblGrid>
      <w:tr>
        <w:trPr>
          <w:tblHeader w:val="true"/>
          <w:trHeight w:val="70" w:hRule="atLeast"/>
        </w:trPr>
        <w:tc>
          <w:tcPr>
            <w:tcW w:w="727" w:type="dxa"/>
            <w:tcBorders>
              <w:top w:val="single" w:sz="4" w:space="0" w:color="000000"/>
              <w:left w:val="single" w:sz="4" w:space="0" w:color="000000"/>
              <w:bottom w:val="single" w:sz="4" w:space="0" w:color="000000"/>
              <w:right w:val="single" w:sz="4" w:space="0" w:color="000000"/>
            </w:tcBorders>
            <w:shd w:fill="F3F3F3" w:val="clear"/>
          </w:tcPr>
          <w:p>
            <w:pPr>
              <w:pStyle w:val="Normal"/>
              <w:keepNext w:val="true"/>
              <w:widowControl/>
              <w:spacing w:before="0" w:after="0"/>
              <w:ind w:left="-108" w:right="-1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452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ind w:left="12" w:right="0"/>
              <w:jc w:val="center"/>
              <w:rPr>
                <w:rFonts w:ascii="Arial" w:hAnsi="Arial" w:cs="Arial"/>
                <w:b/>
                <w:sz w:val="20"/>
                <w:szCs w:val="20"/>
              </w:rPr>
            </w:pPr>
            <w:r>
              <w:rPr>
                <w:rFonts w:eastAsia="Arial" w:cs="Arial" w:ascii="Arial" w:hAnsi="Arial"/>
                <w:b/>
                <w:color w:val="auto"/>
                <w:spacing w:val="0"/>
                <w:w w:val="100"/>
                <w:sz w:val="20"/>
                <w:szCs w:val="20"/>
                <w:lang w:val="ro-RO"/>
              </w:rPr>
              <w:t>Funcția de încadrare</w:t>
            </w:r>
          </w:p>
        </w:tc>
        <w:tc>
          <w:tcPr>
            <w:tcW w:w="473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Activitate desfășurată</w:t>
            </w:r>
          </w:p>
        </w:tc>
        <w:tc>
          <w:tcPr>
            <w:tcW w:w="4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ind w:left="-89" w:right="-63"/>
              <w:jc w:val="center"/>
              <w:rPr>
                <w:rFonts w:ascii="Arial" w:hAnsi="Arial" w:cs="Arial"/>
                <w:b/>
                <w:sz w:val="20"/>
                <w:szCs w:val="20"/>
                <w:lang w:val="it-CH"/>
              </w:rPr>
            </w:pPr>
            <w:r>
              <w:rPr>
                <w:rFonts w:eastAsia="Arial" w:cs="Arial" w:ascii="Arial" w:hAnsi="Arial"/>
                <w:b/>
                <w:color w:val="auto"/>
                <w:spacing w:val="0"/>
                <w:w w:val="100"/>
                <w:sz w:val="20"/>
                <w:szCs w:val="20"/>
                <w:lang w:val="ro-RO"/>
              </w:rPr>
              <w:t>Departament de încadrare</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Conducător antrepriza construcții - montaj</w:t>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Coordonare activitate</w:t>
            </w:r>
          </w:p>
        </w:tc>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Administrativ</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Director vânzări</w:t>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Activități de vânzare</w:t>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Vânzare</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da-DK"/>
              </w:rPr>
            </w:pPr>
            <w:r>
              <w:rPr>
                <w:rFonts w:eastAsia="Arial" w:cs="Arial" w:ascii="Arial" w:hAnsi="Arial"/>
                <w:color w:val="auto"/>
                <w:spacing w:val="0"/>
                <w:w w:val="100"/>
                <w:sz w:val="20"/>
                <w:szCs w:val="20"/>
                <w:lang w:val="ro-RO"/>
              </w:rPr>
              <w:t>Operator montaj linii automate</w:t>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Instalații criogenice</w:t>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Execuție</w:t>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jc w:val="center"/>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18"/>
                <w:szCs w:val="18"/>
                <w:lang w:val="da-DK"/>
              </w:rPr>
            </w:pPr>
            <w:r>
              <w:rPr>
                <w:rFonts w:eastAsia="Arial" w:cs="Arial" w:ascii="Arial" w:hAnsi="Arial"/>
                <w:color w:val="auto"/>
                <w:spacing w:val="0"/>
                <w:w w:val="100"/>
                <w:sz w:val="20"/>
                <w:szCs w:val="20"/>
                <w:lang w:val="ro-RO"/>
              </w:rPr>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jc w:val="center"/>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r>
          </w:p>
        </w:tc>
      </w:tr>
      <w:tr>
        <w:trPr>
          <w:trHeight w:val="60" w:hRule="atLeast"/>
        </w:trPr>
        <w:tc>
          <w:tcPr>
            <w:tcW w:w="727"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6"/>
              </w:numPr>
              <w:snapToGrid w:val="false"/>
              <w:spacing w:before="0" w:after="0"/>
              <w:jc w:val="center"/>
              <w:rPr>
                <w:rFonts w:ascii="Arial" w:hAnsi="Arial" w:cs="Arial"/>
                <w:b/>
                <w:sz w:val="20"/>
                <w:szCs w:val="20"/>
              </w:rPr>
            </w:pPr>
            <w:r>
              <w:rPr>
                <w:rFonts w:eastAsia="Arial" w:cs="Arial" w:ascii="Arial" w:hAnsi="Arial"/>
                <w:b/>
                <w:color w:val="auto"/>
                <w:spacing w:val="0"/>
                <w:w w:val="100"/>
                <w:sz w:val="20"/>
                <w:szCs w:val="20"/>
                <w:lang w:val="ro-RO"/>
              </w:rPr>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r>
          </w:p>
        </w:tc>
        <w:tc>
          <w:tcPr>
            <w:tcW w:w="473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r>
          </w:p>
        </w:tc>
        <w:tc>
          <w:tcPr>
            <w:tcW w:w="4298"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jc w:val="center"/>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r>
          </w:p>
        </w:tc>
      </w:tr>
    </w:tbl>
    <w:p>
      <w:pPr>
        <w:pStyle w:val="Normal"/>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1"/>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1"/>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purtat sau folosit de armata, poliție ori de alte instituții de ordine publică;</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2"/>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trebuie să respecte prevederile Hotărârii Guvernului nr. 115/2004 privind stabilirea cerințelor esențiale de securitate ale echipamentelor individuale de protecție și a condițiilor pentru introducerea lor pe piata, cu modificările ulterioare.</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să se potrivească în mod corect persoanei care îl poarta, după toate ajustările necesare.</w:t>
      </w:r>
    </w:p>
    <w:p>
      <w:pPr>
        <w:pStyle w:val="Normal"/>
        <w:widowControl/>
        <w:numPr>
          <w:ilvl w:val="0"/>
          <w:numId w:val="31"/>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cazul în care prezenta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1"/>
        </w:numPr>
        <w:tabs>
          <w:tab w:val="clear" w:pos="720"/>
          <w:tab w:val="left" w:pos="900" w:leader="none"/>
        </w:tabs>
        <w:spacing w:before="120" w:after="60"/>
        <w:ind w:hanging="0" w:left="446" w:right="0"/>
        <w:jc w:val="left"/>
        <w:rPr>
          <w:rFonts w:ascii="Arial" w:hAnsi="Arial" w:cs="Arial"/>
          <w:sz w:val="20"/>
          <w:szCs w:val="20"/>
        </w:rPr>
      </w:pPr>
      <w:r>
        <w:rPr>
          <w:rFonts w:eastAsia="Arial" w:cs="Arial" w:ascii="Arial" w:hAnsi="Arial"/>
          <w:color w:val="auto"/>
          <w:spacing w:val="0"/>
          <w:w w:val="100"/>
          <w:sz w:val="20"/>
          <w:szCs w:val="20"/>
          <w:lang w:val="ro-RO"/>
        </w:rPr>
        <w:t>Condițiile de utilizare a echipamentului individual de protecție, în special durata purtării, sunt determinate în funcție de gravitatea riscului, frecvența expunerii la risc, caracteristicile postului de lucru al fiecărui lucrător și de performanta echipamentului individual de protecție.</w:t>
      </w:r>
    </w:p>
    <w:p>
      <w:pPr>
        <w:pStyle w:val="Normal"/>
        <w:widowControl/>
        <w:numPr>
          <w:ilvl w:val="0"/>
          <w:numId w:val="31"/>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0"/>
        <w:jc w:val="left"/>
        <w:rPr>
          <w:rFonts w:ascii="Arial" w:hAnsi="Arial" w:cs="Arial"/>
          <w:sz w:val="20"/>
          <w:szCs w:val="20"/>
        </w:rPr>
      </w:pPr>
      <w:r>
        <w:rPr>
          <w:rFonts w:eastAsia="Arial" w:cs="Arial" w:ascii="Arial" w:hAnsi="Arial"/>
          <w:color w:val="auto"/>
          <w:spacing w:val="0"/>
          <w:w w:val="100"/>
          <w:sz w:val="20"/>
          <w:szCs w:val="20"/>
          <w:lang w:val="ro-RO"/>
        </w:rPr>
        <w:t>(2) Dacă împrejurările impun purtarea echipamentului individual de protecție de către mai multe persoane, se iau măsuri corespunzătoare pentru a se asigura ca aceasta utilizare nu creează diferiților utilizatori nicio problema de sănătate sau de igienă.</w:t>
      </w:r>
    </w:p>
    <w:p>
      <w:pPr>
        <w:pStyle w:val="Normal"/>
        <w:widowControl/>
        <w:numPr>
          <w:ilvl w:val="0"/>
          <w:numId w:val="31"/>
        </w:numPr>
        <w:tabs>
          <w:tab w:val="clear" w:pos="720"/>
          <w:tab w:val="left" w:pos="900" w:leader="none"/>
          <w:tab w:val="left" w:pos="1080" w:leader="none"/>
          <w:tab w:val="left" w:pos="1170" w:leader="none"/>
          <w:tab w:val="left" w:pos="126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1"/>
        </w:numPr>
        <w:tabs>
          <w:tab w:val="clear" w:pos="720"/>
          <w:tab w:val="left" w:pos="900" w:leader="none"/>
          <w:tab w:val="left" w:pos="117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se distribuie gratuit de angajator, care asigură buna să funcționare și o stare de igiena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1"/>
        </w:numPr>
        <w:tabs>
          <w:tab w:val="clear" w:pos="720"/>
          <w:tab w:val="left" w:pos="900" w:leader="none"/>
          <w:tab w:val="left" w:pos="99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1"/>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1"/>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1"/>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Aceasta evaluare cuprinde:</w:t>
      </w:r>
    </w:p>
    <w:p>
      <w:pPr>
        <w:pStyle w:val="Normal"/>
        <w:widowControl/>
        <w:numPr>
          <w:ilvl w:val="0"/>
          <w:numId w:val="3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30"/>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30"/>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1"/>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1"/>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romane care transpun legislația comunitară privind libera circulație a acestui echipament.</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1"/>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1"/>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Ministerul Muncii, Solidarității Sociale și Familiei consulta organizațiile angajatorilor și lucrătorilor cu privire la regulile prevăzute la art. 17 și 18.</w:t>
      </w:r>
    </w:p>
    <w:p>
      <w:pPr>
        <w:pStyle w:val="Normal"/>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spacing w:before="0" w:after="40"/>
        <w:ind w:left="432" w:right="288"/>
        <w:jc w:val="left"/>
        <w:rPr>
          <w:rFonts w:ascii="Arial" w:hAnsi="Arial" w:cs="Arial"/>
          <w:b/>
          <w:bCs/>
          <w:sz w:val="20"/>
          <w:szCs w:val="20"/>
        </w:rPr>
      </w:pPr>
      <w:r>
        <w:rPr>
          <w:rFonts w:eastAsia="Arial" w:cs="Arial" w:ascii="Arial" w:hAnsi="Arial"/>
          <w:b/>
          <w:bCs/>
          <w:color w:val="auto"/>
          <w:spacing w:val="0"/>
          <w:w w:val="100"/>
          <w:sz w:val="20"/>
          <w:szCs w:val="20"/>
          <w:lang w:val="ro-RO"/>
        </w:rPr>
        <w:t>Art. 20</w:t>
      </w:r>
      <w:r>
        <w:rPr>
          <w:rFonts w:eastAsia="Arial" w:cs="Arial" w:ascii="Arial" w:hAnsi="Arial"/>
          <w:color w:val="auto"/>
          <w:spacing w:val="0"/>
          <w:w w:val="100"/>
          <w:sz w:val="20"/>
          <w:szCs w:val="20"/>
          <w:lang w:val="ro-RO"/>
        </w:rPr>
        <w:t xml:space="preserve"> 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spacing w:before="0" w:after="40"/>
        <w:ind w:left="432" w:right="432"/>
        <w:jc w:val="left"/>
        <w:rPr>
          <w:rFonts w:ascii="Arial" w:hAnsi="Arial" w:cs="Arial"/>
          <w:b/>
          <w:bCs/>
          <w:sz w:val="20"/>
          <w:szCs w:val="20"/>
        </w:rPr>
      </w:pPr>
      <w:r>
        <w:rPr>
          <w:rFonts w:eastAsia="Arial" w:cs="Arial" w:ascii="Arial" w:hAnsi="Arial"/>
          <w:b/>
          <w:bCs/>
          <w:color w:val="auto"/>
          <w:spacing w:val="0"/>
          <w:w w:val="100"/>
          <w:sz w:val="20"/>
          <w:szCs w:val="20"/>
          <w:lang w:val="ro-RO"/>
        </w:rPr>
        <w:t>Art. 21</w:t>
      </w:r>
      <w:r>
        <w:rPr>
          <w:rFonts w:eastAsia="Arial" w:cs="Arial" w:ascii="Arial" w:hAnsi="Arial"/>
          <w:color w:val="auto"/>
          <w:spacing w:val="0"/>
          <w:w w:val="100"/>
          <w:sz w:val="20"/>
          <w:szCs w:val="20"/>
          <w:lang w:val="ro-RO"/>
        </w:rPr>
        <w:t xml:space="preserve"> 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p>
    <w:p>
      <w:pPr>
        <w:pStyle w:val="Normal"/>
        <w:widowControl/>
        <w:spacing w:before="0" w:after="60"/>
        <w:ind w:hanging="0"/>
        <w:jc w:val="left"/>
        <w:rPr>
          <w:rFonts w:ascii="Arial" w:hAnsi="Arial" w:cs="Arial"/>
          <w:b/>
          <w:bCs/>
          <w:sz w:val="20"/>
          <w:szCs w:val="20"/>
        </w:rPr>
      </w:pP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Caldura,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Ceata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Zapada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Gheata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widowControl/>
        <w:tabs>
          <w:tab w:val="clear" w:pos="720"/>
          <w:tab w:val="left" w:pos="1845"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E.I.P.</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ușor pentru protecția scalpului (caschete, bonete, plase de par,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cu receptor de joasă frecvența incorporat;</w:t>
      </w:r>
    </w:p>
    <w:p>
      <w:pPr>
        <w:pStyle w:val="Normal"/>
        <w:widowControl/>
        <w:numPr>
          <w:ilvl w:val="0"/>
          <w:numId w:val="3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 împotriva radiațiilor X, ochelari-masca împotriva radiațiilor laser, ochelari-masca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măști și căști pentru sudura cu arc (măști de mana, măști cu fixare pe cap sau măști care pot fi montate pe căști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cu masca de sudura detașabilă;</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mâinii și bratului: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manseta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și supraîncălțări cu tălpi rezistente de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crampoane detașabile pentru gheața, zăpada sau podele alunecoase.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rezistența la căldură;</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fără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toc sau talpa ortopedica și inserție antiperforatie: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mașini a căror funcționare se bazează pe îndepărtarea spanului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căldura radianta;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containere, spații înguste și cuptoare industriale alimentate cu gaz, în cazul în care poate există riscul intoxicării cu gaz sau cantitatea de oxigen este insuficienta;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Protecția corpului, bratelor și mâinilor</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sudura în spații înguste.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cuțite de mana care implică îndreptarea cuțitului spre corp.</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manipularea de obiecte cu muchii ascuțite, dar nu la utilizarea mașinilor care prezintă riscul ca manusa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 din impletitura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widowControl/>
        <w:numPr>
          <w:ilvl w:val="0"/>
          <w:numId w:val="0"/>
        </w:numPr>
        <w:tabs>
          <w:tab w:val="clear" w:pos="720"/>
          <w:tab w:val="left" w:pos="450" w:leader="none"/>
        </w:tabs>
        <w:spacing w:before="0" w:after="120"/>
        <w:ind w:hanging="0" w:lef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paza,</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în silvicultura</w:t>
      </w:r>
    </w:p>
    <w:p>
      <w:pPr>
        <w:pStyle w:val="Normal"/>
        <w:widowControl/>
        <w:numPr>
          <w:ilvl w:val="2"/>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drumuri și șosele, poduri, cai ferate,</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7"/>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keepNext w:val="true"/>
        <w:widowControl/>
        <w:numPr>
          <w:ilvl w:val="2"/>
          <w:numId w:val="1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tbl>
      <w:tblPr>
        <w:tblW w:w="5000" w:type="pct"/>
        <w:jc w:val="left"/>
        <w:tblInd w:w="0" w:type="dxa"/>
        <w:tblLayout w:type="fixed"/>
        <w:tblCellMar>
          <w:top w:w="17" w:type="dxa"/>
          <w:left w:w="108" w:type="dxa"/>
          <w:bottom w:w="17" w:type="dxa"/>
          <w:right w:w="108" w:type="dxa"/>
        </w:tblCellMar>
      </w:tblPr>
      <w:tblGrid>
        <w:gridCol w:w="3735"/>
        <w:gridCol w:w="6535"/>
        <w:gridCol w:w="2290"/>
        <w:gridCol w:w="1727"/>
      </w:tblGrid>
      <w:tr>
        <w:trPr>
          <w:tblHeader w:val="true"/>
          <w:trHeight w:val="112" w:hRule="atLeast"/>
        </w:trPr>
        <w:tc>
          <w:tcPr>
            <w:tcW w:w="14287" w:type="dxa"/>
            <w:gridSpan w:val="4"/>
            <w:tcBorders>
              <w:top w:val="single" w:sz="4" w:space="0" w:color="000000"/>
              <w:left w:val="single" w:sz="4" w:space="0" w:color="000000"/>
              <w:bottom w:val="double" w:sz="4" w:space="0" w:color="000000"/>
              <w:right w:val="single" w:sz="4" w:space="0" w:color="000000"/>
            </w:tcBorders>
            <w:shd w:fill="CCFFFF" w:val="clear"/>
            <w:vAlign w:val="center"/>
          </w:tcPr>
          <w:p>
            <w:pPr>
              <w:pStyle w:val="Normal"/>
              <w:keepNext w:val="true"/>
              <w:widowControl/>
              <w:spacing w:before="0" w:after="0"/>
              <w:ind w:left="312" w:right="0"/>
              <w:jc w:val="center"/>
              <w:rPr>
                <w:rFonts w:ascii="Arial" w:hAnsi="Arial" w:cs="Arial"/>
                <w:sz w:val="20"/>
                <w:szCs w:val="20"/>
                <w:lang w:val="es-ES_tradnl"/>
              </w:rPr>
            </w:pPr>
            <w:r>
              <w:rPr>
                <w:rFonts w:eastAsia="Arial" w:cs="Arial" w:ascii="Arial" w:hAnsi="Arial"/>
                <w:b/>
                <w:color w:val="auto"/>
                <w:spacing w:val="0"/>
                <w:w w:val="100"/>
                <w:sz w:val="20"/>
                <w:szCs w:val="20"/>
                <w:lang w:val="ro-RO"/>
              </w:rPr>
              <w:t>LOC DE MUNCĂ:</w:t>
            </w:r>
            <w:r>
              <w:rPr>
                <w:rFonts w:eastAsia="Arial" w:cs="Arial" w:ascii="Arial" w:hAnsi="Arial"/>
                <w:color w:val="auto"/>
                <w:spacing w:val="0"/>
                <w:w w:val="100"/>
                <w:sz w:val="20"/>
                <w:szCs w:val="20"/>
                <w:lang w:val="ro-RO"/>
              </w:rPr>
              <w:t xml:space="preserve"> ATELIER, ȘANTIER TEMPORAR </w:t>
            </w:r>
            <w:r>
              <w:rPr>
                <w:rFonts w:eastAsia="Arial" w:cs="Arial" w:ascii="Arial" w:hAnsi="Arial"/>
                <w:b/>
                <w:color w:val="auto"/>
                <w:spacing w:val="0"/>
                <w:w w:val="100"/>
                <w:sz w:val="20"/>
                <w:szCs w:val="20"/>
                <w:lang w:val="ro-RO"/>
              </w:rPr>
              <w:t xml:space="preserve">/ MESERIA: </w:t>
            </w:r>
            <w:r>
              <w:rPr>
                <w:rFonts w:eastAsia="Arial" w:cs="Arial" w:ascii="Arial" w:hAnsi="Arial"/>
                <w:color w:val="auto"/>
                <w:spacing w:val="0"/>
                <w:w w:val="100"/>
                <w:sz w:val="20"/>
                <w:szCs w:val="20"/>
                <w:lang w:val="ro-RO"/>
              </w:rPr>
              <w:t>CONDUCĂTOR ANTREPRIZA CONSTRUCȚII MONTAJ, OPERATOR MONTAJ LINII AUTOMATE</w:t>
            </w:r>
          </w:p>
        </w:tc>
      </w:tr>
      <w:tr>
        <w:trPr>
          <w:trHeight w:val="96" w:hRule="atLeast"/>
        </w:trPr>
        <w:tc>
          <w:tcPr>
            <w:tcW w:w="3735" w:type="dxa"/>
            <w:tcBorders>
              <w:top w:val="double" w:sz="4" w:space="0" w:color="000000"/>
              <w:left w:val="single" w:sz="4" w:space="0" w:color="000000"/>
              <w:bottom w:val="single" w:sz="4" w:space="0" w:color="000000"/>
              <w:right w:val="single" w:sz="6" w:space="0" w:color="000000"/>
            </w:tcBorders>
            <w:shd w:fill="F3F3F3" w:val="clear"/>
            <w:vAlign w:val="center"/>
          </w:tcPr>
          <w:p>
            <w:pPr>
              <w:pStyle w:val="Normal"/>
              <w:keepNext w:val="true"/>
              <w:widowControl/>
              <w:spacing w:before="0" w:after="0"/>
              <w:jc w:val="center"/>
              <w:rPr>
                <w:rFonts w:ascii="Arial" w:hAnsi="Arial" w:cs="Arial"/>
                <w:b/>
                <w:sz w:val="22"/>
                <w:szCs w:val="22"/>
              </w:rPr>
            </w:pPr>
            <w:r>
              <w:rPr>
                <w:rFonts w:eastAsia="Arial" w:cs="Arial" w:ascii="Arial" w:hAnsi="Arial"/>
                <w:b/>
                <w:color w:val="auto"/>
                <w:spacing w:val="0"/>
                <w:w w:val="100"/>
                <w:sz w:val="20"/>
                <w:szCs w:val="20"/>
                <w:lang w:val="ro-RO"/>
              </w:rPr>
              <w:t>Risc</w:t>
            </w:r>
          </w:p>
        </w:tc>
        <w:tc>
          <w:tcPr>
            <w:tcW w:w="6535" w:type="dxa"/>
            <w:tcBorders>
              <w:top w:val="double" w:sz="4" w:space="0" w:color="000000"/>
              <w:left w:val="single" w:sz="6" w:space="0" w:color="000000"/>
              <w:bottom w:val="single" w:sz="4" w:space="0" w:color="000000"/>
              <w:right w:val="single" w:sz="6" w:space="0" w:color="000000"/>
            </w:tcBorders>
            <w:shd w:fill="F3F3F3" w:val="clear"/>
            <w:vAlign w:val="center"/>
          </w:tcPr>
          <w:p>
            <w:pPr>
              <w:pStyle w:val="Normal"/>
              <w:widowControl/>
              <w:spacing w:before="0" w:after="0"/>
              <w:jc w:val="center"/>
              <w:rPr>
                <w:rFonts w:ascii="Arial" w:hAnsi="Arial" w:cs="Arial"/>
                <w:b/>
                <w:sz w:val="22"/>
                <w:szCs w:val="22"/>
                <w:lang w:val="es-ES"/>
              </w:rPr>
            </w:pPr>
            <w:r>
              <w:rPr>
                <w:rFonts w:eastAsia="Arial" w:cs="Arial" w:ascii="Arial" w:hAnsi="Arial"/>
                <w:b/>
                <w:color w:val="auto"/>
                <w:spacing w:val="0"/>
                <w:w w:val="100"/>
                <w:sz w:val="20"/>
                <w:szCs w:val="20"/>
                <w:lang w:val="ro-RO"/>
              </w:rPr>
              <w:t>Sortiment E.I.P. necesar de acordat</w:t>
            </w:r>
          </w:p>
        </w:tc>
        <w:tc>
          <w:tcPr>
            <w:tcW w:w="2290" w:type="dxa"/>
            <w:tcBorders>
              <w:top w:val="double" w:sz="4" w:space="0" w:color="000000"/>
              <w:left w:val="single" w:sz="6" w:space="0" w:color="000000"/>
              <w:bottom w:val="single" w:sz="4" w:space="0" w:color="000000"/>
              <w:right w:val="single" w:sz="6" w:space="0" w:color="000000"/>
            </w:tcBorders>
            <w:shd w:fill="F3F3F3" w:val="clear"/>
            <w:vAlign w:val="center"/>
          </w:tcPr>
          <w:p>
            <w:pPr>
              <w:pStyle w:val="Normal"/>
              <w:widowControl/>
              <w:spacing w:before="0" w:after="0"/>
              <w:jc w:val="center"/>
              <w:rPr>
                <w:rFonts w:ascii="Arial" w:hAnsi="Arial" w:cs="Arial"/>
                <w:b/>
                <w:sz w:val="22"/>
                <w:szCs w:val="22"/>
              </w:rPr>
            </w:pPr>
            <w:r>
              <w:rPr>
                <w:rFonts w:eastAsia="Arial" w:cs="Arial" w:ascii="Arial" w:hAnsi="Arial"/>
                <w:b/>
                <w:color w:val="auto"/>
                <w:spacing w:val="0"/>
                <w:w w:val="100"/>
                <w:sz w:val="20"/>
                <w:szCs w:val="20"/>
                <w:lang w:val="ro-RO"/>
              </w:rPr>
              <w:t>Durata de utilizare</w:t>
            </w:r>
          </w:p>
        </w:tc>
        <w:tc>
          <w:tcPr>
            <w:tcW w:w="1727" w:type="dxa"/>
            <w:tcBorders>
              <w:top w:val="double" w:sz="4" w:space="0" w:color="000000"/>
              <w:left w:val="single" w:sz="6"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2"/>
                <w:szCs w:val="22"/>
              </w:rPr>
            </w:pPr>
            <w:r>
              <w:rPr>
                <w:rFonts w:eastAsia="Arial" w:cs="Arial" w:ascii="Arial" w:hAnsi="Arial"/>
                <w:b/>
                <w:color w:val="auto"/>
                <w:spacing w:val="0"/>
                <w:w w:val="100"/>
                <w:sz w:val="20"/>
                <w:szCs w:val="20"/>
                <w:lang w:val="ro-RO"/>
              </w:rPr>
              <w:t>Mod acordare</w:t>
            </w:r>
          </w:p>
        </w:tc>
      </w:tr>
      <w:tr>
        <w:trPr>
          <w:trHeight w:val="155"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6535" w:type="dxa"/>
            <w:tcBorders>
              <w:top w:val="single" w:sz="4" w:space="0" w:color="000000"/>
              <w:left w:val="single" w:sz="6" w:space="0" w:color="000000"/>
              <w:bottom w:val="single" w:sz="4" w:space="0" w:color="000000"/>
              <w:right w:val="single" w:sz="6" w:space="0" w:color="000000"/>
            </w:tcBorders>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2290" w:type="dxa"/>
            <w:tcBorders>
              <w:top w:val="single" w:sz="4" w:space="0" w:color="000000"/>
              <w:left w:val="single" w:sz="6" w:space="0" w:color="000000"/>
              <w:bottom w:val="single" w:sz="4" w:space="0" w:color="000000"/>
              <w:right w:val="single" w:sz="6" w:space="0" w:color="000000"/>
            </w:tcBorders>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727" w:type="dxa"/>
            <w:tcBorders>
              <w:top w:val="single" w:sz="4" w:space="0" w:color="000000"/>
              <w:left w:val="single" w:sz="6" w:space="0" w:color="000000"/>
              <w:bottom w:val="single" w:sz="4" w:space="0" w:color="000000"/>
              <w:right w:val="single" w:sz="4" w:space="0" w:color="000000"/>
            </w:tcBorders>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r>
      <w:tr>
        <w:trPr>
          <w:trHeight w:val="65"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Pulberi, fibre, Împroșcare, stropire (Fata, Ochi)</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Ochelari de protecție</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65"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color w:val="000000"/>
                <w:sz w:val="18"/>
                <w:szCs w:val="18"/>
                <w:lang w:val="it-IT"/>
              </w:rPr>
            </w:pPr>
            <w:r>
              <w:rPr>
                <w:rFonts w:eastAsia="Arial" w:cs="Arial" w:ascii="Arial" w:hAnsi="Arial"/>
                <w:color w:val="auto"/>
                <w:spacing w:val="0"/>
                <w:w w:val="100"/>
                <w:sz w:val="20"/>
                <w:szCs w:val="20"/>
                <w:lang w:val="ro-RO"/>
              </w:rPr>
              <w:t>Pulberi, fibre, Împroșcare, stropire (Fata, Ochi)</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Masca sudura</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24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111"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sz w:val="18"/>
                <w:szCs w:val="18"/>
                <w:lang w:val="it-IT"/>
              </w:rPr>
            </w:pPr>
            <w:r>
              <w:rPr>
                <w:rFonts w:eastAsia="Arial" w:cs="Arial" w:ascii="Arial" w:hAnsi="Arial"/>
                <w:color w:val="auto"/>
                <w:spacing w:val="0"/>
                <w:w w:val="100"/>
                <w:sz w:val="20"/>
                <w:szCs w:val="20"/>
                <w:lang w:val="ro-RO"/>
              </w:rPr>
              <w:t>Înțepături, Tăieturi, Zgârieturi (mâini, brațe)</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Mănuși împotriva agresiunilor mecanice,</w:t>
            </w:r>
          </w:p>
        </w:tc>
        <w:tc>
          <w:tcPr>
            <w:tcW w:w="229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6 luni</w:t>
            </w:r>
          </w:p>
        </w:tc>
        <w:tc>
          <w:tcPr>
            <w:tcW w:w="1727"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jc w:val="left"/>
              <w:rPr>
                <w:rFonts w:ascii="Arial" w:hAnsi="Arial" w:cs="Arial"/>
                <w:sz w:val="18"/>
                <w:szCs w:val="18"/>
              </w:rPr>
            </w:pPr>
            <w:r>
              <w:rPr>
                <w:rFonts w:eastAsia="Arial" w:cs="Arial" w:ascii="Arial" w:hAnsi="Arial"/>
                <w:color w:val="auto"/>
                <w:spacing w:val="0"/>
                <w:w w:val="100"/>
                <w:sz w:val="20"/>
                <w:szCs w:val="20"/>
                <w:lang w:val="ro-RO"/>
              </w:rPr>
              <w:t>Înțepături, Tăieturi, Zgârieturi (corp)</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BodyText3"/>
              <w:widowControl/>
              <w:spacing w:before="0" w:after="0"/>
              <w:rPr>
                <w:rFonts w:ascii="Arial" w:hAnsi="Arial" w:cs="Arial"/>
                <w:b w:val="false"/>
                <w:bCs w:val="false"/>
                <w:sz w:val="18"/>
                <w:szCs w:val="18"/>
                <w:lang w:val="es-ES"/>
              </w:rPr>
            </w:pPr>
            <w:r>
              <w:rPr>
                <w:rFonts w:eastAsia="Arial" w:cs="Arial" w:ascii="Arial" w:hAnsi="Arial"/>
                <w:b w:val="false"/>
                <w:color w:val="auto"/>
                <w:spacing w:val="0"/>
                <w:w w:val="100"/>
                <w:sz w:val="20"/>
                <w:szCs w:val="20"/>
                <w:lang w:val="ro-RO"/>
              </w:rPr>
              <w:t>Salopeta de lucru (pantalon cu pieptar și haina)</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rPr>
                <w:rFonts w:ascii="Arial" w:hAnsi="Arial" w:cs="Arial"/>
                <w:sz w:val="18"/>
                <w:szCs w:val="18"/>
              </w:rPr>
            </w:pPr>
            <w:r>
              <w:rPr>
                <w:rFonts w:eastAsia="Arial" w:cs="Arial" w:ascii="Arial" w:hAnsi="Arial"/>
                <w:color w:val="auto"/>
                <w:spacing w:val="0"/>
                <w:w w:val="100"/>
                <w:sz w:val="20"/>
                <w:szCs w:val="20"/>
                <w:lang w:val="ro-RO"/>
              </w:rPr>
              <w:t>Șoc, lovire</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lang w:val="nl-NL"/>
              </w:rPr>
            </w:pPr>
            <w:r>
              <w:rPr>
                <w:rFonts w:eastAsia="Arial" w:cs="Arial" w:ascii="Arial" w:hAnsi="Arial"/>
                <w:color w:val="auto"/>
                <w:spacing w:val="0"/>
                <w:w w:val="100"/>
                <w:sz w:val="20"/>
                <w:szCs w:val="20"/>
                <w:lang w:val="ro-RO"/>
              </w:rPr>
              <w:t>Vesta reflectorizantă</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rPr>
                <w:rFonts w:ascii="Arial" w:hAnsi="Arial" w:cs="Arial"/>
                <w:sz w:val="18"/>
                <w:szCs w:val="18"/>
              </w:rPr>
            </w:pPr>
            <w:r>
              <w:rPr>
                <w:rFonts w:eastAsia="Arial" w:cs="Arial" w:ascii="Arial" w:hAnsi="Arial"/>
                <w:color w:val="auto"/>
                <w:spacing w:val="0"/>
                <w:w w:val="100"/>
                <w:sz w:val="20"/>
                <w:szCs w:val="20"/>
                <w:lang w:val="ro-RO"/>
              </w:rPr>
              <w:t>Lovituri, strivire</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lang w:val="nl-NL"/>
              </w:rPr>
            </w:pPr>
            <w:r>
              <w:rPr>
                <w:rFonts w:eastAsia="Arial" w:cs="Arial" w:ascii="Arial" w:hAnsi="Arial"/>
                <w:color w:val="auto"/>
                <w:spacing w:val="0"/>
                <w:w w:val="100"/>
                <w:sz w:val="20"/>
                <w:szCs w:val="20"/>
                <w:lang w:val="ro-RO"/>
              </w:rPr>
              <w:t>Bocanci cu bombeu</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70" w:hRule="atLeast"/>
        </w:trPr>
        <w:tc>
          <w:tcPr>
            <w:tcW w:w="3735" w:type="dxa"/>
            <w:tcBorders>
              <w:top w:val="single" w:sz="4" w:space="0" w:color="000000"/>
              <w:left w:val="single" w:sz="4" w:space="0" w:color="000000"/>
              <w:bottom w:val="single" w:sz="4" w:space="0" w:color="000000"/>
              <w:right w:val="single" w:sz="6" w:space="0" w:color="000000"/>
            </w:tcBorders>
          </w:tcPr>
          <w:p>
            <w:pPr>
              <w:pStyle w:val="Normal"/>
              <w:keepNext w:val="true"/>
              <w:widowControl/>
              <w:spacing w:before="0" w:after="0"/>
              <w:rPr>
                <w:rFonts w:ascii="Arial" w:hAnsi="Arial" w:cs="Arial"/>
                <w:sz w:val="18"/>
                <w:szCs w:val="18"/>
              </w:rPr>
            </w:pPr>
            <w:r>
              <w:rPr>
                <w:rFonts w:eastAsia="Arial" w:cs="Arial" w:ascii="Arial" w:hAnsi="Arial"/>
                <w:color w:val="auto"/>
                <w:spacing w:val="0"/>
                <w:w w:val="100"/>
                <w:sz w:val="20"/>
                <w:szCs w:val="20"/>
                <w:lang w:val="ro-RO"/>
              </w:rPr>
              <w:t>Lovituri, Impact</w:t>
            </w:r>
            <w:r>
              <w:rPr>
                <w:rFonts w:eastAsia="Arial" w:cs="Arial" w:ascii="Arial" w:hAnsi="Arial"/>
                <w:color w:val="auto"/>
                <w:spacing w:val="0"/>
                <w:w w:val="100"/>
                <w:sz w:val="20"/>
                <w:szCs w:val="20"/>
                <w:lang w:val="ro-RO"/>
              </w:rPr>
              <w:t>, cădere de obiecte de la înălțime (craniu)</w:t>
            </w:r>
          </w:p>
        </w:tc>
        <w:tc>
          <w:tcPr>
            <w:tcW w:w="653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Cască protecție</w:t>
            </w:r>
          </w:p>
        </w:tc>
        <w:tc>
          <w:tcPr>
            <w:tcW w:w="2290"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24 luni</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Inventar</w:t>
            </w:r>
          </w:p>
        </w:tc>
      </w:tr>
      <w:tr>
        <w:trPr>
          <w:trHeight w:val="112" w:hRule="atLeast"/>
        </w:trPr>
        <w:tc>
          <w:tcPr>
            <w:tcW w:w="373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Observații:</w:t>
            </w:r>
          </w:p>
        </w:tc>
        <w:tc>
          <w:tcPr>
            <w:tcW w:w="10552"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
                <w:bCs/>
                <w:sz w:val="18"/>
                <w:szCs w:val="18"/>
              </w:rPr>
            </w:pPr>
            <w:r>
              <w:rPr>
                <w:rFonts w:eastAsia="Arial" w:cs="Arial" w:ascii="Arial" w:hAnsi="Arial"/>
                <w:b/>
                <w:bCs/>
                <w:color w:val="auto"/>
                <w:spacing w:val="0"/>
                <w:w w:val="100"/>
                <w:sz w:val="20"/>
                <w:szCs w:val="20"/>
                <w:lang w:val="ro-RO"/>
              </w:rPr>
              <w:t>La predarea echipamentului individual de protecție se va completa procesul verbal de predare – primire</w:t>
            </w:r>
          </w:p>
        </w:tc>
      </w:tr>
    </w:tbl>
    <w:p>
      <w:pPr>
        <w:pStyle w:val="Normal"/>
        <w:keepNext w:val="true"/>
        <w:widowControl/>
        <w:spacing w:before="0" w:after="120"/>
        <w:ind w:hanging="0"/>
        <w:jc w:val="left"/>
        <w:rPr>
          <w:rStyle w:val="tpa1"/>
          <w:rFonts w:ascii="Arial" w:hAnsi="Arial" w:cs="Arial"/>
          <w:sz w:val="8"/>
          <w:szCs w:val="20"/>
          <w:lang w:val="es-ES"/>
        </w:rPr>
      </w:pPr>
      <w:r>
        <w:rPr>
          <w:rFonts w:eastAsia="Arial" w:cs="Arial" w:ascii="Arial" w:hAnsi="Arial"/>
          <w:color w:val="auto"/>
          <w:spacing w:val="0"/>
          <w:w w:val="100"/>
          <w:sz w:val="20"/>
          <w:szCs w:val="20"/>
          <w:lang w:val="ro-RO"/>
        </w:rPr>
      </w:r>
    </w:p>
    <w:tbl>
      <w:tblPr>
        <w:tblW w:w="5000" w:type="pct"/>
        <w:jc w:val="left"/>
        <w:tblInd w:w="15" w:type="dxa"/>
        <w:tblLayout w:type="fixed"/>
        <w:tblCellMar>
          <w:top w:w="17" w:type="dxa"/>
          <w:left w:w="45" w:type="dxa"/>
          <w:bottom w:w="17" w:type="dxa"/>
          <w:right w:w="45" w:type="dxa"/>
        </w:tblCellMar>
      </w:tblPr>
      <w:tblGrid>
        <w:gridCol w:w="286"/>
        <w:gridCol w:w="845"/>
        <w:gridCol w:w="815"/>
        <w:gridCol w:w="677"/>
        <w:gridCol w:w="566"/>
        <w:gridCol w:w="656"/>
        <w:gridCol w:w="483"/>
        <w:gridCol w:w="648"/>
        <w:gridCol w:w="552"/>
        <w:gridCol w:w="297"/>
        <w:gridCol w:w="812"/>
        <w:gridCol w:w="755"/>
        <w:gridCol w:w="615"/>
        <w:gridCol w:w="693"/>
        <w:gridCol w:w="512"/>
        <w:gridCol w:w="320"/>
        <w:gridCol w:w="386"/>
        <w:gridCol w:w="467"/>
        <w:gridCol w:w="745"/>
        <w:gridCol w:w="595"/>
        <w:gridCol w:w="579"/>
        <w:gridCol w:w="556"/>
        <w:gridCol w:w="724"/>
        <w:gridCol w:w="703"/>
      </w:tblGrid>
      <w:tr>
        <w:trPr>
          <w:tblHeader w:val="true"/>
          <w:trHeight w:val="58" w:hRule="atLeast"/>
        </w:trPr>
        <w:tc>
          <w:tcPr>
            <w:tcW w:w="1946" w:type="dxa"/>
            <w:gridSpan w:val="3"/>
            <w:vMerge w:val="restart"/>
            <w:tcBorders>
              <w:top w:val="thickThinLargeGap" w:sz="6" w:space="0" w:color="C0C0C0"/>
              <w:left w:val="thickThinLargeGap" w:sz="6" w:space="0" w:color="C0C0C0"/>
              <w:right w:val="thickThinLargeGap" w:sz="6" w:space="0" w:color="C0C0C0"/>
            </w:tcBorders>
          </w:tcPr>
          <w:p>
            <w:pPr>
              <w:pStyle w:val="Normal"/>
              <w:widowControl/>
              <w:spacing w:before="0" w:after="0"/>
              <w:rPr>
                <w:rFonts w:ascii="Arial" w:hAnsi="Arial" w:cs="Arial"/>
                <w:b/>
                <w:color w:val="000000"/>
                <w:sz w:val="20"/>
                <w:szCs w:val="20"/>
                <w:lang w:val="es-ES"/>
              </w:rPr>
            </w:pPr>
            <w:r>
              <w:rPr>
                <w:rFonts w:eastAsia="Arial" w:cs="Arial" w:ascii="Arial" w:hAnsi="Arial"/>
                <w:color w:val="auto"/>
                <w:spacing w:val="0"/>
                <w:w w:val="100"/>
                <w:sz w:val="16"/>
                <w:szCs w:val="16"/>
                <w:lang w:val="ro-RO"/>
              </w:rPr>
            </w:r>
          </w:p>
        </w:tc>
        <w:tc>
          <w:tcPr>
            <w:tcW w:w="12341" w:type="dxa"/>
            <w:gridSpan w:val="21"/>
            <w:tcBorders>
              <w:top w:val="thickThinLargeGap" w:sz="6" w:space="0" w:color="C0C0C0"/>
              <w:left w:val="thickThinLargeGap" w:sz="6" w:space="0" w:color="C0C0C0"/>
              <w:bottom w:val="thickThinLargeGap" w:sz="6" w:space="0" w:color="C0C0C0"/>
              <w:right w:val="thickThinLargeGap" w:sz="6" w:space="0" w:color="C0C0C0"/>
            </w:tcBorders>
            <w:shd w:fill="F3F3F3" w:val="clear"/>
          </w:tcPr>
          <w:p>
            <w:pPr>
              <w:pStyle w:val="Normal"/>
              <w:widowControl/>
              <w:spacing w:before="0" w:after="0"/>
              <w:jc w:val="center"/>
              <w:rPr>
                <w:rFonts w:ascii="Arial" w:hAnsi="Arial" w:cs="Arial"/>
                <w:b/>
                <w:color w:val="000000"/>
                <w:sz w:val="20"/>
                <w:szCs w:val="20"/>
              </w:rPr>
            </w:pPr>
            <w:r>
              <w:rPr>
                <w:rFonts w:eastAsia="Arial" w:cs="Arial" w:ascii="Arial" w:hAnsi="Arial"/>
                <w:b/>
                <w:color w:val="auto"/>
                <w:spacing w:val="0"/>
                <w:w w:val="100"/>
                <w:sz w:val="16"/>
                <w:szCs w:val="16"/>
                <w:lang w:val="ro-RO"/>
              </w:rPr>
              <w:t>RISCURI PERSONAL DE EXECUȚIE</w:t>
            </w:r>
          </w:p>
        </w:tc>
      </w:tr>
      <w:tr>
        <w:trPr>
          <w:trHeight w:val="82" w:hRule="atLeast"/>
        </w:trPr>
        <w:tc>
          <w:tcPr>
            <w:tcW w:w="1946" w:type="dxa"/>
            <w:gridSpan w:val="3"/>
            <w:vMerge w:val="continue"/>
            <w:tcBorders>
              <w:top w:val="thickThinLargeGap" w:sz="6" w:space="0" w:color="C0C0C0"/>
              <w:left w:val="thickThinLargeGap" w:sz="6" w:space="0" w:color="C0C0C0"/>
              <w:right w:val="thickThinLargeGap" w:sz="6" w:space="0" w:color="C0C0C0"/>
            </w:tcBorders>
            <w:tcMar>
              <w:top w:w="15" w:type="dxa"/>
              <w:left w:w="30" w:type="dxa"/>
              <w:bottom w:w="15" w:type="dxa"/>
              <w:right w:w="30" w:type="dxa"/>
            </w:tcMa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6754" w:type="dxa"/>
            <w:gridSpan w:val="11"/>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FIZICE</w:t>
            </w:r>
          </w:p>
        </w:tc>
        <w:tc>
          <w:tcPr>
            <w:tcW w:w="3025" w:type="dxa"/>
            <w:gridSpan w:val="6"/>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CHIMICE</w:t>
            </w:r>
          </w:p>
        </w:tc>
        <w:tc>
          <w:tcPr>
            <w:tcW w:w="2562" w:type="dxa"/>
            <w:gridSpan w:val="4"/>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BIOLOGICE</w:t>
            </w:r>
          </w:p>
        </w:tc>
      </w:tr>
      <w:tr>
        <w:trPr>
          <w:trHeight w:val="82" w:hRule="atLeast"/>
        </w:trPr>
        <w:tc>
          <w:tcPr>
            <w:tcW w:w="1946" w:type="dxa"/>
            <w:gridSpan w:val="3"/>
            <w:vMerge w:val="continue"/>
            <w:tcBorders>
              <w:top w:val="thickThinLargeGap" w:sz="6" w:space="0" w:color="C0C0C0"/>
              <w:left w:val="thickThinLargeGap" w:sz="6" w:space="0" w:color="C0C0C0"/>
              <w:right w:val="thickThinLargeGap" w:sz="6" w:space="0" w:color="C0C0C0"/>
            </w:tcBorders>
            <w:tcMar>
              <w:top w:w="15" w:type="dxa"/>
              <w:left w:w="30" w:type="dxa"/>
              <w:bottom w:w="15" w:type="dxa"/>
              <w:right w:w="30" w:type="dxa"/>
            </w:tcMa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3030" w:type="dxa"/>
            <w:gridSpan w:val="5"/>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MECANICE</w:t>
            </w:r>
          </w:p>
        </w:tc>
        <w:tc>
          <w:tcPr>
            <w:tcW w:w="849" w:type="dxa"/>
            <w:gridSpan w:val="2"/>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TERMICE</w:t>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ELECTRICE</w:t>
            </w:r>
          </w:p>
        </w:tc>
        <w:tc>
          <w:tcPr>
            <w:tcW w:w="1370" w:type="dxa"/>
            <w:gridSpan w:val="2"/>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RADIAȚII</w:t>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ZGOMOT</w:t>
            </w:r>
          </w:p>
        </w:tc>
        <w:tc>
          <w:tcPr>
            <w:tcW w:w="1218" w:type="dxa"/>
            <w:gridSpan w:val="3"/>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AEROSOLI</w:t>
            </w:r>
          </w:p>
        </w:tc>
        <w:tc>
          <w:tcPr>
            <w:tcW w:w="1212" w:type="dxa"/>
            <w:gridSpan w:val="2"/>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4"/>
                <w:szCs w:val="14"/>
              </w:rPr>
            </w:pPr>
            <w:r>
              <w:rPr>
                <w:rFonts w:eastAsia="Arial" w:cs="Arial" w:ascii="Arial" w:hAnsi="Arial"/>
                <w:b/>
                <w:color w:val="auto"/>
                <w:spacing w:val="0"/>
                <w:w w:val="100"/>
                <w:sz w:val="16"/>
                <w:szCs w:val="16"/>
                <w:lang w:val="ro-RO"/>
              </w:rPr>
              <w:t>LICHIDE</w:t>
            </w:r>
          </w:p>
        </w:tc>
        <w:tc>
          <w:tcPr>
            <w:tcW w:w="59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GAZE, VAPORI</w:t>
            </w:r>
          </w:p>
        </w:tc>
        <w:tc>
          <w:tcPr>
            <w:tcW w:w="579"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45"/>
              <w:jc w:val="center"/>
              <w:rPr>
                <w:rFonts w:ascii="Arial" w:hAnsi="Arial" w:cs="Arial"/>
                <w:color w:val="000000"/>
                <w:sz w:val="14"/>
                <w:szCs w:val="14"/>
              </w:rPr>
            </w:pPr>
            <w:r>
              <w:rPr>
                <w:rFonts w:eastAsia="Arial" w:cs="Arial" w:ascii="Arial" w:hAnsi="Arial"/>
                <w:color w:val="auto"/>
                <w:spacing w:val="0"/>
                <w:w w:val="100"/>
                <w:sz w:val="16"/>
                <w:szCs w:val="16"/>
                <w:lang w:val="ro-RO"/>
              </w:rPr>
              <w:t>Bacterii patogene</w:t>
            </w:r>
          </w:p>
        </w:tc>
        <w:tc>
          <w:tcPr>
            <w:tcW w:w="556"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Viruși patogeni</w:t>
            </w:r>
          </w:p>
        </w:tc>
        <w:tc>
          <w:tcPr>
            <w:tcW w:w="724"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66"/>
              <w:jc w:val="center"/>
              <w:rPr>
                <w:rFonts w:ascii="Arial" w:hAnsi="Arial" w:cs="Arial"/>
                <w:color w:val="000000"/>
                <w:sz w:val="14"/>
                <w:szCs w:val="14"/>
              </w:rPr>
            </w:pPr>
            <w:r>
              <w:rPr>
                <w:rFonts w:eastAsia="Arial" w:cs="Arial" w:ascii="Arial" w:hAnsi="Arial"/>
                <w:color w:val="auto"/>
                <w:spacing w:val="0"/>
                <w:w w:val="100"/>
                <w:sz w:val="16"/>
                <w:szCs w:val="16"/>
                <w:lang w:val="ro-RO"/>
              </w:rPr>
              <w:t>Ciuperci generatoare de micoze</w:t>
            </w:r>
          </w:p>
        </w:tc>
        <w:tc>
          <w:tcPr>
            <w:tcW w:w="703"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87"/>
              <w:jc w:val="center"/>
              <w:rPr>
                <w:rFonts w:ascii="Arial" w:hAnsi="Arial" w:cs="Arial"/>
                <w:color w:val="000000"/>
                <w:sz w:val="14"/>
                <w:szCs w:val="14"/>
              </w:rPr>
            </w:pPr>
            <w:r>
              <w:rPr>
                <w:rFonts w:eastAsia="Arial" w:cs="Arial" w:ascii="Arial" w:hAnsi="Arial"/>
                <w:color w:val="auto"/>
                <w:spacing w:val="0"/>
                <w:w w:val="100"/>
                <w:sz w:val="16"/>
                <w:szCs w:val="16"/>
                <w:lang w:val="ro-RO"/>
              </w:rPr>
              <w:t>Antigeni biologici nemicro-bieni</w:t>
            </w:r>
          </w:p>
        </w:tc>
      </w:tr>
      <w:tr>
        <w:trPr>
          <w:trHeight w:val="474" w:hRule="atLeast"/>
        </w:trPr>
        <w:tc>
          <w:tcPr>
            <w:tcW w:w="1946" w:type="dxa"/>
            <w:gridSpan w:val="3"/>
            <w:vMerge w:val="continue"/>
            <w:tcBorders>
              <w:top w:val="thickThinLargeGap" w:sz="6" w:space="0" w:color="C0C0C0"/>
              <w:left w:val="thickThinLargeGap" w:sz="6" w:space="0" w:color="C0C0C0"/>
              <w:right w:val="thickThinLargeGap" w:sz="6" w:space="0" w:color="C0C0C0"/>
            </w:tcBorders>
            <w:tcMar>
              <w:top w:w="15" w:type="dxa"/>
              <w:left w:w="30" w:type="dxa"/>
              <w:bottom w:w="15" w:type="dxa"/>
              <w:right w:w="30" w:type="dxa"/>
            </w:tcMa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Căderi de la înălțime</w:t>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Lovituri, tăieturi, impact, strivire</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Înțepături, tăieturi, zgârieturi</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Vibrații</w:t>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lang w:val="fr-FR"/>
              </w:rPr>
            </w:pPr>
            <w:r>
              <w:rPr>
                <w:rFonts w:eastAsia="Arial" w:cs="Arial" w:ascii="Arial" w:hAnsi="Arial"/>
                <w:color w:val="auto"/>
                <w:spacing w:val="0"/>
                <w:w w:val="100"/>
                <w:sz w:val="16"/>
                <w:szCs w:val="16"/>
                <w:lang w:val="ro-RO"/>
              </w:rPr>
              <w:t>Alunecare, cădere la același nivel</w:t>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Căldura, foc</w:t>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Frig</w:t>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Electrice</w:t>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Neionizante</w:t>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Ionizante</w:t>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Zgomot</w:t>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Pulberi, fibre</w:t>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Fum</w:t>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ind w:right="-51"/>
              <w:jc w:val="center"/>
              <w:rPr>
                <w:rFonts w:ascii="Arial" w:hAnsi="Arial" w:cs="Arial"/>
                <w:color w:val="000000"/>
                <w:sz w:val="14"/>
                <w:szCs w:val="14"/>
              </w:rPr>
            </w:pPr>
            <w:r>
              <w:rPr>
                <w:rFonts w:eastAsia="Arial" w:cs="Arial" w:ascii="Arial" w:hAnsi="Arial"/>
                <w:color w:val="auto"/>
                <w:spacing w:val="0"/>
                <w:w w:val="100"/>
                <w:sz w:val="16"/>
                <w:szCs w:val="16"/>
                <w:lang w:val="ro-RO"/>
              </w:rPr>
              <w:t>Ceață</w:t>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Imerșii</w:t>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color w:val="000000"/>
                <w:sz w:val="14"/>
                <w:szCs w:val="14"/>
              </w:rPr>
            </w:pPr>
            <w:r>
              <w:rPr>
                <w:rFonts w:eastAsia="Arial" w:cs="Arial" w:ascii="Arial" w:hAnsi="Arial"/>
                <w:color w:val="auto"/>
                <w:spacing w:val="0"/>
                <w:w w:val="100"/>
                <w:sz w:val="16"/>
                <w:szCs w:val="16"/>
                <w:lang w:val="ro-RO"/>
              </w:rPr>
              <w:t>Împroșcare, stropire</w:t>
            </w:r>
          </w:p>
        </w:tc>
        <w:tc>
          <w:tcPr>
            <w:tcW w:w="59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579"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556"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724"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703"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r>
      <w:tr>
        <w:trPr>
          <w:trHeight w:val="82" w:hRule="atLeast"/>
        </w:trPr>
        <w:tc>
          <w:tcPr>
            <w:tcW w:w="286" w:type="dxa"/>
            <w:vMerge w:val="restart"/>
            <w:tcBorders>
              <w:top w:val="thickThinLargeGap" w:sz="6" w:space="0" w:color="C0C0C0"/>
              <w:left w:val="thickThinLargeGap" w:sz="6" w:space="0" w:color="C0C0C0"/>
              <w:bottom w:val="thickThinLargeGap" w:sz="6" w:space="0" w:color="C0C0C0"/>
              <w:right w:val="thickThinLargeGap" w:sz="6" w:space="0" w:color="C0C0C0"/>
            </w:tcBorders>
            <w:shd w:fill="F3F3F3" w:val="clear"/>
            <w:textDirection w:val="btLr"/>
            <w:vAlign w:val="center"/>
          </w:tcPr>
          <w:p>
            <w:pPr>
              <w:pStyle w:val="Normal"/>
              <w:widowControl/>
              <w:spacing w:before="0" w:after="0"/>
              <w:ind w:left="113" w:right="113"/>
              <w:jc w:val="center"/>
              <w:rPr>
                <w:color w:val="000000"/>
                <w:sz w:val="16"/>
                <w:szCs w:val="16"/>
              </w:rPr>
            </w:pPr>
            <w:r>
              <w:rPr>
                <w:rFonts w:eastAsia="Arial" w:cs="Arial" w:ascii="Arial" w:hAnsi="Arial"/>
                <w:b/>
                <w:color w:val="auto"/>
                <w:spacing w:val="0"/>
                <w:w w:val="100"/>
                <w:sz w:val="16"/>
                <w:szCs w:val="16"/>
                <w:lang w:val="ro-RO"/>
              </w:rPr>
              <w:t>PĂRȚILE CORPULUI</w:t>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CAP</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Craniu</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Urechi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Ochi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Căi respiratorii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Fața</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Întregul cap</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MEMBRE SUP.</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Mâini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Brațe (părți)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MEMBRE INF.</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Picior</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jc w:val="center"/>
              <w:rPr>
                <w:rFonts w:ascii="Arial" w:hAnsi="Arial" w:cs="Arial"/>
                <w:b/>
                <w:color w:val="000000"/>
                <w:sz w:val="18"/>
                <w:szCs w:val="18"/>
              </w:rPr>
            </w:pPr>
            <w:r>
              <w:rPr>
                <w:rFonts w:eastAsia="Arial" w:cs="Arial" w:ascii="Arial" w:hAnsi="Arial"/>
                <w:b/>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Gambe (părți)</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restart"/>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8"/>
                <w:szCs w:val="18"/>
              </w:rPr>
            </w:pPr>
            <w:r>
              <w:rPr>
                <w:rFonts w:eastAsia="Arial" w:cs="Arial" w:ascii="Arial" w:hAnsi="Arial"/>
                <w:b/>
                <w:color w:val="auto"/>
                <w:spacing w:val="0"/>
                <w:w w:val="100"/>
                <w:sz w:val="16"/>
                <w:szCs w:val="16"/>
                <w:lang w:val="ro-RO"/>
              </w:rPr>
              <w:t>ALTELE</w:t>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Piele</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Trunchi abdomen</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Căi parenterale</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r>
        <w:trPr>
          <w:trHeight w:val="82" w:hRule="atLeast"/>
        </w:trPr>
        <w:tc>
          <w:tcPr>
            <w:tcW w:w="286" w:type="dxa"/>
            <w:vMerge w:val="continue"/>
            <w:tcBorders>
              <w:top w:val="thickThinLargeGap" w:sz="6" w:space="0" w:color="C0C0C0"/>
              <w:left w:val="thickThinLargeGap" w:sz="6" w:space="0" w:color="C0C0C0"/>
              <w:bottom w:val="thickThinLargeGap" w:sz="6" w:space="0" w:color="C0C0C0"/>
              <w:right w:val="thickThinLargeGap" w:sz="6" w:space="0" w:color="C0C0C0"/>
            </w:tcBorders>
            <w:shd w:fill="F3F3F3" w:val="clear"/>
            <w:tcMar>
              <w:top w:w="15" w:type="dxa"/>
              <w:left w:w="30" w:type="dxa"/>
              <w:bottom w:w="15" w:type="dxa"/>
              <w:right w:w="30" w:type="dxa"/>
            </w:tcMar>
            <w:textDirection w:val="btL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45" w:type="dxa"/>
            <w:vMerge w:val="continue"/>
            <w:tcBorders>
              <w:top w:val="thickThinLargeGap" w:sz="6" w:space="0" w:color="C0C0C0"/>
              <w:left w:val="thickThinLargeGap" w:sz="6" w:space="0" w:color="C0C0C0"/>
              <w:bottom w:val="thickThinLargeGap" w:sz="6" w:space="0" w:color="C0C0C0"/>
              <w:right w:val="thickThinLargeGap" w:sz="6" w:space="0" w:color="C0C0C0"/>
            </w:tcBorders>
            <w:tcMar>
              <w:top w:w="15" w:type="dxa"/>
              <w:left w:w="30" w:type="dxa"/>
              <w:bottom w:w="15" w:type="dxa"/>
              <w:right w:w="30" w:type="dxa"/>
            </w:tcMar>
            <w:vAlign w:val="center"/>
          </w:tcPr>
          <w:p>
            <w:pPr>
              <w:pStyle w:val="Normal"/>
              <w:snapToGrid w:val="false"/>
              <w:rPr>
                <w:color w:val="000000"/>
                <w:sz w:val="16"/>
                <w:szCs w:val="16"/>
              </w:rPr>
            </w:pPr>
            <w:r>
              <w:rPr>
                <w:rFonts w:eastAsia="Arial" w:cs="Arial" w:ascii="Arial" w:hAnsi="Arial"/>
                <w:color w:val="auto"/>
                <w:spacing w:val="0"/>
                <w:w w:val="100"/>
                <w:sz w:val="20"/>
                <w:szCs w:val="20"/>
                <w:lang w:val="ro-RO"/>
              </w:rPr>
            </w:r>
          </w:p>
        </w:tc>
        <w:tc>
          <w:tcPr>
            <w:tcW w:w="815" w:type="dxa"/>
            <w:tcBorders>
              <w:top w:val="thickThinLargeGap" w:sz="6" w:space="0" w:color="C0C0C0"/>
              <w:left w:val="thickThinLargeGap" w:sz="6" w:space="0" w:color="C0C0C0"/>
              <w:bottom w:val="thickThinLargeGap" w:sz="6" w:space="0" w:color="C0C0C0"/>
              <w:right w:val="thickThinLargeGap" w:sz="6" w:space="0" w:color="C0C0C0"/>
            </w:tcBorders>
          </w:tcPr>
          <w:p>
            <w:pPr>
              <w:pStyle w:val="Normal"/>
              <w:widowControl/>
              <w:spacing w:before="0" w:after="0"/>
              <w:rPr>
                <w:rFonts w:ascii="Arial" w:hAnsi="Arial" w:cs="Arial"/>
                <w:b/>
                <w:color w:val="000000"/>
                <w:sz w:val="14"/>
                <w:szCs w:val="14"/>
              </w:rPr>
            </w:pPr>
            <w:r>
              <w:rPr>
                <w:rFonts w:eastAsia="Arial" w:cs="Arial" w:ascii="Arial" w:hAnsi="Arial"/>
                <w:b/>
                <w:color w:val="auto"/>
                <w:spacing w:val="0"/>
                <w:w w:val="100"/>
                <w:sz w:val="16"/>
                <w:szCs w:val="16"/>
                <w:lang w:val="ro-RO"/>
              </w:rPr>
              <w:t>Întregul corp</w:t>
            </w:r>
          </w:p>
        </w:tc>
        <w:tc>
          <w:tcPr>
            <w:tcW w:w="67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56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6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8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48"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t>X</w:t>
            </w:r>
          </w:p>
        </w:tc>
        <w:tc>
          <w:tcPr>
            <w:tcW w:w="55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29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8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5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1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69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2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38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46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4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95"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79"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556"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24"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c>
          <w:tcPr>
            <w:tcW w:w="703" w:type="dxa"/>
            <w:tcBorders>
              <w:top w:val="thickThinLargeGap" w:sz="6" w:space="0" w:color="C0C0C0"/>
              <w:left w:val="thickThinLargeGap" w:sz="6" w:space="0" w:color="C0C0C0"/>
              <w:bottom w:val="thickThinLargeGap" w:sz="6" w:space="0" w:color="C0C0C0"/>
              <w:right w:val="thickThinLargeGap" w:sz="6" w:space="0" w:color="C0C0C0"/>
            </w:tcBorders>
            <w:vAlign w:val="center"/>
          </w:tcPr>
          <w:p>
            <w:pPr>
              <w:pStyle w:val="Normal"/>
              <w:widowControl/>
              <w:snapToGrid w:val="false"/>
              <w:spacing w:before="0" w:after="0"/>
              <w:jc w:val="center"/>
              <w:rPr>
                <w:rFonts w:ascii="Arial" w:hAnsi="Arial" w:cs="Arial"/>
                <w:b/>
                <w:color w:val="000000"/>
                <w:sz w:val="16"/>
                <w:szCs w:val="16"/>
              </w:rPr>
            </w:pPr>
            <w:r>
              <w:rPr>
                <w:rFonts w:eastAsia="Arial" w:cs="Arial" w:ascii="Arial" w:hAnsi="Arial"/>
                <w:b/>
                <w:color w:val="auto"/>
                <w:spacing w:val="0"/>
                <w:w w:val="100"/>
                <w:sz w:val="16"/>
                <w:szCs w:val="16"/>
                <w:lang w:val="ro-RO"/>
              </w:rPr>
            </w:r>
          </w:p>
        </w:tc>
      </w:tr>
    </w:tbl>
    <w:p>
      <w:pPr>
        <w:pStyle w:val="Normal"/>
        <w:widowControl/>
        <w:spacing w:before="0" w:after="0"/>
        <w:ind w:hanging="0" w:right="0"/>
        <w:jc w:val="left"/>
        <w:rPr>
          <w:rFonts w:ascii="Arial" w:hAnsi="Arial" w:cs="Arial"/>
          <w:b/>
          <w:bCs/>
          <w:sz w:val="2"/>
          <w:szCs w:val="20"/>
        </w:rPr>
      </w:pPr>
      <w:r>
        <w:rPr>
          <w:rFonts w:eastAsia="Arial" w:cs="Arial" w:ascii="Arial" w:hAnsi="Arial"/>
          <w:b/>
          <w:bCs/>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12</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32"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suff w:val="space"/>
      <w:lvlText w:val="Art.%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12</Pages>
  <Words>3294</Words>
  <Characters>21560</Characters>
  <CharactersWithSpaces>24246</CharactersWithSpaces>
  <Paragraphs>529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2026-09-19T01:27:50Z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