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fals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18 și din H.G. 1425/ 2006 Art. 52 – 56, Art. 57, alin. (5),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tiveName}} în c</w:t>
      </w:r>
      <w:r>
        <w:rPr>
          <w:rFonts w:eastAsia="Arial" w:cs="Arial" w:ascii="Arial" w:hAnsi="Arial"/>
          <w:color w:val="auto"/>
          <w:spacing w:val="0"/>
          <w:w w:val="100"/>
          <w:sz w:val="20"/>
          <w:szCs w:val="20"/>
          <w:lang w:val="ro-RO"/>
        </w:rPr>
        <w:t>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Reprezentanții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 2006, </w:t>
      </w:r>
      <w:r>
        <w:rPr>
          <w:rFonts w:eastAsia="Arial" w:cs="Arial" w:ascii="Arial" w:hAnsi="Arial"/>
          <w:i/>
          <w:color w:val="auto"/>
          <w:spacing w:val="0"/>
          <w:w w:val="100"/>
          <w:sz w:val="20"/>
          <w:szCs w:val="20"/>
          <w:lang w:val="ro-RO"/>
        </w:rPr>
        <w:t>Art. 5, lit. d)</w:t>
      </w:r>
      <w:r>
        <w:rPr>
          <w:rFonts w:eastAsia="Arial" w:cs="Arial" w:ascii="Arial" w:hAnsi="Arial"/>
          <w:color w:val="auto"/>
          <w:spacing w:val="0"/>
          <w:w w:val="100"/>
          <w:sz w:val="20"/>
          <w:szCs w:val="20"/>
          <w:lang w:val="ro-RO"/>
        </w:rPr>
        <w:t>,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w:t>
      </w:r>
      <w:r>
        <w:rPr>
          <w:rStyle w:val="tpa1"/>
          <w:rFonts w:eastAsia="Arial" w:cs="Arial" w:ascii="Arial" w:hAnsi="Arial"/>
          <w:color w:val="auto"/>
          <w:spacing w:val="0"/>
          <w:w w:val="100"/>
          <w:sz w:val="20"/>
          <w:szCs w:val="20"/>
          <w:lang w:val="ro-RO"/>
        </w:rPr>
        <w:t xml:space="preserve">«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doi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widowControl/>
        <w:numPr>
          <w:ilvl w:val="0"/>
          <w:numId w:val="3"/>
        </w:numPr>
        <w:spacing w:before="120" w:after="6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Conform alegerii făcute de către lucrătorii angajați în cadrul {{client.legalName}}, conform cu prevederile din </w:t>
      </w:r>
      <w:r>
        <w:rPr>
          <w:rStyle w:val="tpa1"/>
          <w:rFonts w:eastAsia="Arial" w:cs="Arial" w:ascii="Arial" w:hAnsi="Arial"/>
          <w:color w:val="auto"/>
          <w:spacing w:val="0"/>
          <w:w w:val="100"/>
          <w:sz w:val="20"/>
          <w:szCs w:val="20"/>
          <w:lang w:val="ro-RO"/>
        </w:rPr>
        <w:t xml:space="preserve">«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 cu privire la alegerea și desemnarea lucrătorilor cu răspunderi specifice în domeniul securității și sănătății în muncă,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 xml:space="preserve">tiveName}} având </w:t>
      </w:r>
      <w:r>
        <w:rPr>
          <w:rFonts w:eastAsia="Arial" w:cs="Arial" w:ascii="Arial" w:hAnsi="Arial"/>
          <w:color w:val="auto"/>
          <w:spacing w:val="0"/>
          <w:w w:val="100"/>
          <w:sz w:val="20"/>
          <w:szCs w:val="20"/>
          <w:lang w:val="ro-RO"/>
        </w:rPr>
        <w:t>funcția de {{client.representativeRole}}</w:t>
      </w:r>
      <w:r>
        <w:rPr>
          <w:rFonts w:eastAsia="Arial" w:cs="Arial" w:ascii="Arial" w:hAnsi="Arial"/>
          <w:color w:val="auto"/>
          <w:spacing w:val="0"/>
          <w:w w:val="100"/>
          <w:sz w:val="20"/>
          <w:szCs w:val="20"/>
          <w:lang w:val="ro-RO"/>
        </w:rPr>
        <w:t xml:space="preserv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