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REGISTRELE DE EVIDENȚĂ A EVENIMENTELOR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36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1. Registrul unic de evidență a accidentaților în muncă;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2. Registrul unic de evidență a incidentelor periculoase;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3. Registrul unic de evidență a accidentelor ușoare;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4. Registrul unic de evidență a accidentaților în muncă ce au ca urmare incapacitate de muncă mai mare de 3 zile de lucru.</w:t>
      </w:r>
    </w:p>
    <w:p>
      <w:pPr>
        <w:pStyle w:val="Normal"/>
        <w:keepNext w:val="true"/>
        <w:bidi w:val="0"/>
        <w:spacing w:lineRule="auto" w:line="240" w:before="1470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 / 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la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2026-10-02T23:28:54Z</dcterms:modified>
  <cp:revision>1</cp:revision>
  <dc:subject/>
  <dc:title/>
</cp:coreProperties>
</file>