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tru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z w:val="20"/>
          <w:szCs w:val="20"/>
          <w:lang w:val="ro-RO"/>
        </w:rPr>
        <w:t>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z w:val="20"/>
          <w:szCs w:val="20"/>
          <w:lang w:val="ro-RO"/>
        </w:rPr>
        <w:t xml:space="preserve"> {{client.representativeRole}}</w:t>
      </w:r>
      <w:r>
        <w:rPr>
          <w:rFonts w:eastAsia="Arial" w:cs="Arial" w:ascii="Arial" w:hAnsi="Arial"/>
          <w:color w:val="auto"/>
          <w:sz w:val="20"/>
          <w:szCs w:val="20"/>
          <w:lang w:val="ro-RO"/>
        </w:rPr>
        <w:t xml:space="preserve"> în cadrul </w:t>
      </w:r>
      <w:r>
        <w:rPr>
          <w:rFonts w:eastAsia="Arial" w:cs="Arial" w:ascii="Arial" w:hAnsi="Arial"/>
          <w:color w:val="auto"/>
          <w:sz w:val="20"/>
          <w:szCs w:val="20"/>
          <w:lang w:val="ro-RO"/>
        </w:rPr>
        <w:t>{{cli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z w:val="20"/>
          <w:szCs w:val="20"/>
          <w:lang w:val="ro-RO"/>
        </w:rPr>
        <w:t>DECIDE: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z w:val="20"/>
          <w:szCs w:val="20"/>
          <w:lang w:val="ro-RO"/>
        </w:rPr>
        <w:t>Efectuarea instruirilor în domeniul securității și sănătății în muncă la personalul angajat al {{cl</w:t>
      </w:r>
      <w:r>
        <w:rPr>
          <w:rStyle w:val="PageNumber"/>
          <w:rFonts w:eastAsia="Arial" w:cs="Arial" w:ascii="Arial" w:hAnsi="Arial"/>
          <w:color w:val="auto"/>
          <w:sz w:val="20"/>
          <w:szCs w:val="20"/>
          <w:lang w:val="ro-RO"/>
        </w:rPr>
        <w:t>ient.legalName}}</w:t>
      </w:r>
      <w:r>
        <w:rPr>
          <w:rFonts w:eastAsia="Arial" w:cs="Arial" w:ascii="Arial" w:hAnsi="Arial"/>
          <w:color w:val="auto"/>
          <w:sz w:val="20"/>
          <w:szCs w:val="20"/>
          <w:lang w:val="ro-RO"/>
        </w:rPr>
        <w:t>,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z w:val="20"/>
          <w:szCs w:val="20"/>
          <w:lang w:val="ro-RO"/>
        </w:rPr>
        <w:t>Personalul din cadrul serviciului extern de prevenire și protecție {{provider.legalName}}, va efectua instruirea introductiv-generală la angajații {{cli</w:t>
      </w:r>
      <w:r>
        <w:rPr>
          <w:rStyle w:val="PageNumber"/>
          <w:rFonts w:eastAsia="Arial" w:cs="Arial" w:ascii="Arial" w:hAnsi="Arial"/>
          <w:color w:val="auto"/>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z w:val="20"/>
          <w:szCs w:val="20"/>
          <w:lang w:val="ro-RO"/>
        </w:rPr>
        <w:t>Personalul din cadrul serviciului extern de prevenire și protecție {{provider.legalName}} va efectua instruirea la locul de muncă și instruirea periodică pentru șefii locului de muncă din cadrul {{cli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 {{#workplaceManagers}</w:t>
      </w:r>
      <w:r>
        <w:rPr>
          <w:rFonts w:eastAsia="Arial" w:cs="Arial" w:ascii="Arial" w:hAnsi="Arial"/>
          <w:color w:val="auto"/>
          <w:sz w:val="20"/>
          <w:szCs w:val="20"/>
          <w:lang w:val="ro-RO"/>
        </w:rPr>
        <w:t>}</w:t>
      </w:r>
      <w:r>
        <w:rPr>
          <w:rFonts w:eastAsia="Arial" w:cs="Arial" w:ascii="Arial" w:hAnsi="Arial"/>
          <w:color w:val="auto"/>
          <w:sz w:val="20"/>
          <w:szCs w:val="20"/>
          <w:lang w:val="ro-RO"/>
        </w:rPr>
        <w:t xml:space="preserve">{{name}}, având </w:t>
      </w:r>
      <w:r>
        <w:rPr>
          <w:rFonts w:eastAsia="Arial" w:cs="Arial" w:ascii="Arial" w:hAnsi="Arial"/>
          <w:color w:val="auto"/>
          <w:sz w:val="20"/>
          <w:szCs w:val="20"/>
          <w:lang w:val="ro-RO"/>
        </w:rPr>
        <w:t>funcția de {{jobT</w:t>
      </w:r>
      <w:r>
        <w:rPr>
          <w:rFonts w:eastAsia="Arial" w:cs="Arial" w:ascii="Arial" w:hAnsi="Arial"/>
          <w:color w:val="auto"/>
          <w:sz w:val="20"/>
          <w:szCs w:val="20"/>
          <w:lang w:val="ro-RO"/>
        </w:rPr>
        <w:t>itle}} în cadrul societății; {{/workplaceManagers}}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z w:val="20"/>
          <w:szCs w:val="20"/>
          <w:lang w:val="ro-RO"/>
        </w:rPr>
        <w:t>{{#workplaceManagers}}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z w:val="20"/>
          <w:szCs w:val="20"/>
          <w:lang w:val="ro-RO"/>
        </w:rPr>
        <w:t>{{name}} având funcția de {{jobTitle}} va efectua instruirea la locul de muncă și instruirea periodică pentru întreg personalul din cadrul {{cli</w:t>
      </w:r>
      <w:r>
        <w:rPr>
          <w:rStyle w:val="PageNumber"/>
          <w:rFonts w:eastAsia="Arial" w:cs="Arial" w:ascii="Arial" w:hAnsi="Arial"/>
          <w:color w:val="auto"/>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b/>
          <w:bCs/>
          <w:color w:val="auto"/>
          <w:sz w:val="20"/>
          <w:szCs w:val="20"/>
          <w:lang w:val="ro-RO"/>
        </w:rPr>
        <w:t>{{/workplaceManagers}}</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z w:val="20"/>
          <w:szCs w:val="20"/>
          <w:lang w:val="ro-RO"/>
        </w:rPr>
        <w:t>Instruirea în domeniul securității și sănătății în muncă în cadrul {{cli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 se va executa astfel:</w:t>
      </w:r>
    </w:p>
    <w:p>
      <w:pPr>
        <w:pStyle w:val="Normal"/>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z w:val="20"/>
          <w:szCs w:val="20"/>
          <w:lang w:val="ro-RO"/>
        </w:rPr>
        <w:t xml:space="preserve">Instruirea </w:t>
      </w:r>
      <w:r>
        <w:rPr>
          <w:rStyle w:val="tpa1"/>
          <w:rFonts w:eastAsia="Arial" w:cs="Arial" w:ascii="Arial" w:hAnsi="Arial"/>
          <w:b/>
          <w:color w:val="auto"/>
          <w:sz w:val="20"/>
          <w:szCs w:val="20"/>
          <w:lang w:val="ro-RO"/>
        </w:rPr>
        <w:t>introductiv-generală</w:t>
      </w:r>
      <w:r>
        <w:rPr>
          <w:rStyle w:val="tpa1"/>
          <w:rFonts w:eastAsia="Arial" w:cs="Arial" w:ascii="Arial" w:hAnsi="Arial"/>
          <w:color w:val="auto"/>
          <w:sz w:val="20"/>
          <w:szCs w:val="20"/>
          <w:lang w:val="ro-RO"/>
        </w:rPr>
        <w:t>:</w:t>
      </w:r>
    </w:p>
    <w:p>
      <w:pPr>
        <w:pStyle w:val="Normal"/>
        <w:widowControl/>
        <w:numPr>
          <w:ilvl w:val="0"/>
          <w:numId w:val="3"/>
        </w:numPr>
        <w:spacing w:before="0" w:after="40"/>
        <w:jc w:val="left"/>
        <w:rPr>
          <w:rFonts w:ascii="Arial" w:hAnsi="Arial" w:cs="Arial"/>
          <w:sz w:val="20"/>
          <w:szCs w:val="20"/>
        </w:rPr>
      </w:pPr>
      <w:r>
        <w:rPr>
          <w:rFonts w:eastAsia="Arial" w:cs="Arial" w:ascii="Arial" w:hAnsi="Arial"/>
          <w:color w:val="auto"/>
          <w:sz w:val="20"/>
          <w:szCs w:val="20"/>
          <w:lang w:val="ro-RO"/>
        </w:rPr>
        <w:t>Conf. H.G. 767/ 2016 - Durata instruirii introductiv-generale nu va fi mai mică de 4 ore;</w:t>
      </w:r>
    </w:p>
    <w:p>
      <w:pPr>
        <w:pStyle w:val="Normal"/>
        <w:widowControl/>
        <w:numPr>
          <w:ilvl w:val="0"/>
          <w:numId w:val="3"/>
        </w:numPr>
        <w:spacing w:before="0" w:after="40"/>
        <w:jc w:val="left"/>
        <w:rPr>
          <w:rFonts w:ascii="Arial" w:hAnsi="Arial" w:cs="Arial"/>
          <w:sz w:val="20"/>
          <w:szCs w:val="20"/>
        </w:rPr>
      </w:pPr>
      <w:r>
        <w:rPr>
          <w:rFonts w:eastAsia="Arial" w:cs="Arial" w:ascii="Arial" w:hAnsi="Arial"/>
          <w:color w:val="auto"/>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z w:val="20"/>
          <w:szCs w:val="20"/>
          <w:lang w:val="ro-RO"/>
        </w:rPr>
        <w:t>lucrătorului pus la dispoziție de către un agent de muncă temporar.</w:t>
      </w:r>
    </w:p>
    <w:p>
      <w:pPr>
        <w:pStyle w:val="Normal"/>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z w:val="20"/>
          <w:szCs w:val="20"/>
          <w:lang w:val="ro-RO"/>
        </w:rPr>
        <w:t xml:space="preserve">Instruirea </w:t>
      </w:r>
      <w:r>
        <w:rPr>
          <w:rStyle w:val="tal1"/>
          <w:rFonts w:eastAsia="Arial" w:cs="Arial" w:ascii="Arial" w:hAnsi="Arial"/>
          <w:b/>
          <w:color w:val="auto"/>
          <w:sz w:val="20"/>
          <w:szCs w:val="20"/>
          <w:lang w:val="ro-RO"/>
        </w:rPr>
        <w:t>la locul de muncă</w:t>
      </w:r>
      <w:r>
        <w:rPr>
          <w:rStyle w:val="tpa1"/>
          <w:rFonts w:eastAsia="Arial" w:cs="Arial" w:ascii="Arial" w:hAnsi="Arial"/>
          <w:color w:val="auto"/>
          <w:sz w:val="20"/>
          <w:szCs w:val="20"/>
          <w:lang w:val="ro-RO"/>
        </w:rPr>
        <w:t>:</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z w:val="20"/>
          <w:szCs w:val="20"/>
          <w:lang w:val="ro-RO"/>
        </w:rPr>
        <w:t>Conf. H.G. 767/ 2016 pct.4 - Durata instruirii la locul de muncă nu va fi mai mică de 4 ore;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z w:val="20"/>
          <w:szCs w:val="20"/>
          <w:lang w:val="ro-RO"/>
        </w:rPr>
        <w:t>Instruirea la locul de muncă se face tuturor lucrătorilor prevăzuți la art. 83</w:t>
      </w:r>
      <w:r>
        <w:rPr>
          <w:rFonts w:eastAsia="Arial" w:cs="Arial" w:ascii="Arial" w:hAnsi="Arial"/>
          <w:i/>
          <w:color w:val="auto"/>
          <w:sz w:val="20"/>
          <w:szCs w:val="20"/>
          <w:lang w:val="ro-RO"/>
        </w:rPr>
        <w:t xml:space="preserve"> din H.G. 1425/ 2006</w:t>
      </w:r>
      <w:r>
        <w:rPr>
          <w:rStyle w:val="tal1"/>
          <w:rFonts w:eastAsia="Arial" w:cs="Arial" w:ascii="Arial" w:hAnsi="Arial"/>
          <w:color w:val="auto"/>
          <w:sz w:val="20"/>
          <w:szCs w:val="20"/>
          <w:lang w:val="ro-RO"/>
        </w:rPr>
        <w:t>, inclusiv la schimbarea locului de muncă în cadrul întreprinderii și/sau al unității.</w:t>
      </w:r>
    </w:p>
    <w:p>
      <w:pPr>
        <w:pStyle w:val="Normal"/>
        <w:widowControl/>
        <w:numPr>
          <w:ilvl w:val="0"/>
          <w:numId w:val="10"/>
        </w:numPr>
        <w:spacing w:before="0" w:after="40"/>
        <w:jc w:val="left"/>
        <w:rPr>
          <w:rFonts w:ascii="Arial" w:hAnsi="Arial" w:cs="Arial"/>
          <w:sz w:val="20"/>
          <w:szCs w:val="20"/>
        </w:rPr>
      </w:pPr>
      <w:r>
        <w:rPr>
          <w:rStyle w:val="tpa1"/>
          <w:rFonts w:eastAsia="Arial" w:cs="Arial" w:ascii="Arial" w:hAnsi="Arial"/>
          <w:color w:val="auto"/>
          <w:sz w:val="20"/>
          <w:szCs w:val="20"/>
          <w:lang w:val="ro-RO"/>
        </w:rPr>
        <w:t xml:space="preserve">Instruirea </w:t>
      </w:r>
      <w:r>
        <w:rPr>
          <w:rStyle w:val="tpa1"/>
          <w:rFonts w:eastAsia="Arial" w:cs="Arial" w:ascii="Arial" w:hAnsi="Arial"/>
          <w:b/>
          <w:color w:val="auto"/>
          <w:sz w:val="20"/>
          <w:szCs w:val="20"/>
          <w:lang w:val="ro-RO"/>
        </w:rPr>
        <w:t>periodică</w:t>
      </w:r>
      <w:r>
        <w:rPr>
          <w:rStyle w:val="tpa1"/>
          <w:rFonts w:eastAsia="Arial" w:cs="Arial" w:ascii="Arial" w:hAnsi="Arial"/>
          <w:color w:val="auto"/>
          <w:sz w:val="20"/>
          <w:szCs w:val="20"/>
          <w:lang w:val="ro-RO"/>
        </w:rPr>
        <w:t>:</w:t>
      </w:r>
    </w:p>
    <w:p>
      <w:pPr>
        <w:pStyle w:val="Normal"/>
        <w:widowControl/>
        <w:numPr>
          <w:ilvl w:val="0"/>
          <w:numId w:val="13"/>
        </w:numPr>
        <w:spacing w:before="0" w:after="40"/>
        <w:jc w:val="left"/>
        <w:rPr>
          <w:rStyle w:val="tpa1"/>
          <w:rFonts w:ascii="Arial" w:hAnsi="Arial" w:cs="Arial"/>
          <w:sz w:val="20"/>
          <w:szCs w:val="20"/>
        </w:rPr>
      </w:pPr>
      <w:r>
        <w:rPr>
          <w:rStyle w:val="tpa1"/>
          <w:rFonts w:eastAsia="Arial" w:cs="Arial" w:ascii="Arial" w:hAnsi="Arial"/>
          <w:color w:val="auto"/>
          <w:sz w:val="20"/>
          <w:szCs w:val="20"/>
          <w:lang w:val="ro-RO"/>
        </w:rPr>
        <w:t xml:space="preserve">Se face tuturor lucrătorilor prevăzuți la art. 83 </w:t>
      </w:r>
      <w:r>
        <w:rPr>
          <w:rFonts w:eastAsia="Arial" w:cs="Arial" w:ascii="Arial" w:hAnsi="Arial"/>
          <w:i/>
          <w:color w:val="auto"/>
          <w:sz w:val="20"/>
          <w:szCs w:val="20"/>
          <w:lang w:val="ro-RO"/>
        </w:rPr>
        <w:t xml:space="preserve">din H.G. 1425/ 2006 </w:t>
      </w:r>
      <w:r>
        <w:rPr>
          <w:rStyle w:val="tpa1"/>
          <w:rFonts w:eastAsia="Arial" w:cs="Arial" w:ascii="Arial" w:hAnsi="Arial"/>
          <w:color w:val="auto"/>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jc w:val="left"/>
        <w:rPr>
          <w:rFonts w:ascii="Arial" w:hAnsi="Arial" w:cs="Arial"/>
          <w:sz w:val="20"/>
          <w:szCs w:val="20"/>
        </w:rPr>
      </w:pPr>
      <w:r>
        <w:rPr>
          <w:rFonts w:eastAsia="Arial" w:cs="Arial" w:ascii="Arial" w:hAnsi="Arial"/>
          <w:color w:val="auto"/>
          <w:sz w:val="20"/>
          <w:szCs w:val="20"/>
          <w:lang w:val="ro-RO"/>
        </w:rPr>
        <w:t xml:space="preserve">Conf. H.G. 767/ 2016, pct. 6) În cadrul {{client.legalName}}, </w:t>
      </w:r>
      <w:r>
        <w:rPr>
          <w:rStyle w:val="spar"/>
          <w:rFonts w:eastAsia="Arial" w:cs="Arial" w:ascii="Arial" w:hAnsi="Arial"/>
          <w:color w:val="auto"/>
          <w:sz w:val="20"/>
          <w:szCs w:val="20"/>
          <w:shd w:fill="FFFFFF" w:val="clear"/>
          <w:lang w:val="ro-RO"/>
        </w:rPr>
        <w:t>durata instruirii periodice</w:t>
      </w:r>
      <w:r>
        <w:rPr>
          <w:rFonts w:eastAsia="Arial" w:cs="Arial" w:ascii="Arial" w:hAnsi="Arial"/>
          <w:color w:val="auto"/>
          <w:sz w:val="20"/>
          <w:szCs w:val="20"/>
          <w:lang w:val="ro-RO"/>
        </w:rPr>
        <w:t xml:space="preserve"> va fi de </w:t>
      </w:r>
      <w:r>
        <w:rPr>
          <w:rFonts w:eastAsia="Arial" w:cs="Arial" w:ascii="Arial" w:hAnsi="Arial"/>
          <w:b/>
          <w:color w:val="auto"/>
          <w:sz w:val="20"/>
          <w:szCs w:val="20"/>
          <w:lang w:val="ro-RO"/>
        </w:rPr>
        <w:t>{{training.periodicDuration}}</w:t>
      </w:r>
      <w:r>
        <w:rPr>
          <w:rFonts w:eastAsia="Arial" w:cs="Arial" w:ascii="Arial" w:hAnsi="Arial"/>
          <w:color w:val="auto"/>
          <w:sz w:val="20"/>
          <w:szCs w:val="20"/>
          <w:lang w:val="ro-RO"/>
        </w:rPr>
        <w:t>;</w:t>
      </w:r>
    </w:p>
    <w:p>
      <w:pPr>
        <w:pStyle w:val="Normal"/>
        <w:widowControl/>
        <w:numPr>
          <w:ilvl w:val="0"/>
          <w:numId w:val="13"/>
        </w:numPr>
        <w:spacing w:before="0" w:after="40"/>
        <w:jc w:val="left"/>
        <w:rPr>
          <w:rFonts w:ascii="Arial" w:hAnsi="Arial" w:cs="Arial"/>
          <w:sz w:val="20"/>
          <w:szCs w:val="20"/>
        </w:rPr>
      </w:pPr>
      <w:r>
        <w:rPr>
          <w:rFonts w:eastAsia="Arial" w:cs="Arial" w:ascii="Arial" w:hAnsi="Arial"/>
          <w:color w:val="auto"/>
          <w:sz w:val="20"/>
          <w:szCs w:val="20"/>
          <w:lang w:val="ro-RO"/>
        </w:rPr>
        <w:t>Având în vedere specificul activităților desfășurate în cadrul {{cli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 xml:space="preserve">, conform prevederilor din </w:t>
      </w:r>
      <w:r>
        <w:rPr>
          <w:rFonts w:eastAsia="Arial" w:cs="Arial" w:ascii="Arial" w:hAnsi="Arial"/>
          <w:i/>
          <w:color w:val="auto"/>
          <w:sz w:val="20"/>
          <w:szCs w:val="20"/>
          <w:lang w:val="ro-RO"/>
        </w:rPr>
        <w:t>HG 1425/2006, Art. 96, alin (2)</w:t>
      </w:r>
      <w:r>
        <w:rPr>
          <w:rFonts w:eastAsia="Arial" w:cs="Arial" w:ascii="Arial" w:hAnsi="Arial"/>
          <w:color w:val="auto"/>
          <w:sz w:val="20"/>
          <w:szCs w:val="20"/>
          <w:lang w:val="ro-RO"/>
        </w:rPr>
        <w:t xml:space="preserve"> stabilesc următoarele intervale de timp pentru efectuarea instructajelor periodice: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z w:val="20"/>
          <w:szCs w:val="20"/>
          <w:u w:val="single"/>
          <w:lang w:val="ro-RO"/>
        </w:rPr>
        <w:t xml:space="preserve">personalul tehnic-administrativ </w:t>
      </w:r>
      <w:r>
        <w:rPr>
          <w:rFonts w:eastAsia="Arial" w:cs="Arial" w:ascii="Arial" w:hAnsi="Arial"/>
          <w:color w:val="auto"/>
          <w:sz w:val="20"/>
          <w:szCs w:val="20"/>
          <w:lang w:val="ro-RO"/>
        </w:rPr>
        <w:t xml:space="preserve">și șefii de locuri de muncă, va fi instruit </w:t>
      </w:r>
      <w:r>
        <w:rPr>
          <w:rFonts w:eastAsia="Arial" w:cs="Arial" w:ascii="Arial" w:hAnsi="Arial"/>
          <w:b/>
          <w:bCs/>
          <w:color w:val="auto"/>
          <w:sz w:val="20"/>
          <w:szCs w:val="20"/>
          <w:lang w:val="ro-RO"/>
        </w:rPr>
        <w:t>{{training.administrativeFrequency}}</w:t>
      </w:r>
      <w:r>
        <w:rPr>
          <w:rFonts w:eastAsia="Arial" w:cs="Arial" w:ascii="Arial" w:hAnsi="Arial"/>
          <w:b/>
          <w:color w:val="auto"/>
          <w:sz w:val="20"/>
          <w:szCs w:val="20"/>
          <w:lang w:val="ro-RO"/>
        </w:rPr>
        <w:t xml:space="preserve"> </w:t>
      </w:r>
      <w:r>
        <w:rPr>
          <w:rFonts w:eastAsia="Arial" w:cs="Arial" w:ascii="Arial" w:hAnsi="Arial"/>
          <w:color w:val="auto"/>
          <w:sz w:val="20"/>
          <w:szCs w:val="20"/>
          <w:lang w:val="ro-RO"/>
        </w:rPr>
        <w:t>respectiv în lunile</w:t>
      </w:r>
      <w:r>
        <w:rPr>
          <w:rFonts w:eastAsia="Arial" w:cs="Arial" w:ascii="Arial" w:hAnsi="Arial"/>
          <w:b/>
          <w:color w:val="auto"/>
          <w:sz w:val="20"/>
          <w:szCs w:val="20"/>
          <w:lang w:val="ro-RO"/>
        </w:rPr>
        <w:t xml:space="preserve"> {{training</w:t>
      </w:r>
      <w:r>
        <w:rPr>
          <w:rFonts w:eastAsia="Arial" w:cs="Arial" w:ascii="Arial" w:hAnsi="Arial"/>
          <w:b/>
          <w:bCs/>
          <w:color w:val="auto"/>
          <w:sz w:val="20"/>
          <w:szCs w:val="20"/>
          <w:lang w:val="ro-RO"/>
        </w:rPr>
        <w:t xml:space="preserve">.administrativeMonths}}, </w:t>
      </w:r>
      <w:r>
        <w:rPr>
          <w:rFonts w:eastAsia="Arial" w:cs="Arial" w:ascii="Arial" w:hAnsi="Arial"/>
          <w:b/>
          <w:color w:val="auto"/>
          <w:sz w:val="20"/>
          <w:szCs w:val="20"/>
          <w:lang w:val="ro-RO"/>
        </w:rPr>
        <w:t>în perioada (ziua) {{training.dayFrom}} – {{training.dayTo}} ale lunii</w:t>
      </w:r>
      <w:r>
        <w:rPr>
          <w:rFonts w:eastAsia="Arial" w:cs="Arial" w:ascii="Arial" w:hAnsi="Arial"/>
          <w:color w:val="auto"/>
          <w:sz w:val="20"/>
          <w:szCs w:val="20"/>
          <w:lang w:val="ro-RO"/>
        </w:rPr>
        <w:t>;</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z w:val="20"/>
          <w:szCs w:val="20"/>
          <w:u w:val="single"/>
          <w:lang w:val="ro-RO"/>
        </w:rPr>
        <w:t>personalul de execuție,</w:t>
      </w:r>
      <w:r>
        <w:rPr>
          <w:rFonts w:eastAsia="Arial" w:cs="Arial" w:ascii="Arial" w:hAnsi="Arial"/>
          <w:color w:val="auto"/>
          <w:sz w:val="20"/>
          <w:szCs w:val="20"/>
          <w:lang w:val="ro-RO"/>
        </w:rPr>
        <w:t xml:space="preserve"> va fi instruit </w:t>
      </w:r>
      <w:r>
        <w:rPr>
          <w:rFonts w:eastAsia="Arial" w:cs="Arial" w:ascii="Arial" w:hAnsi="Arial"/>
          <w:b/>
          <w:bCs/>
          <w:color w:val="auto"/>
          <w:sz w:val="20"/>
          <w:szCs w:val="20"/>
          <w:lang w:val="ro-RO"/>
        </w:rPr>
        <w:t>{{training.workerFrequency}}</w:t>
      </w:r>
      <w:r>
        <w:rPr>
          <w:rFonts w:eastAsia="Arial" w:cs="Arial" w:ascii="Arial" w:hAnsi="Arial"/>
          <w:b/>
          <w:color w:val="auto"/>
          <w:sz w:val="20"/>
          <w:szCs w:val="20"/>
          <w:lang w:val="ro-RO"/>
        </w:rPr>
        <w:t xml:space="preserve"> </w:t>
      </w:r>
      <w:r>
        <w:rPr>
          <w:rFonts w:eastAsia="Arial" w:cs="Arial" w:ascii="Arial" w:hAnsi="Arial"/>
          <w:color w:val="auto"/>
          <w:sz w:val="20"/>
          <w:szCs w:val="20"/>
          <w:lang w:val="ro-RO"/>
        </w:rPr>
        <w:t>respectiv în lunile</w:t>
      </w:r>
      <w:r>
        <w:rPr>
          <w:rFonts w:eastAsia="Arial" w:cs="Arial" w:ascii="Arial" w:hAnsi="Arial"/>
          <w:b/>
          <w:color w:val="auto"/>
          <w:sz w:val="20"/>
          <w:szCs w:val="20"/>
          <w:lang w:val="ro-RO"/>
        </w:rPr>
        <w:t xml:space="preserve"> {{training.w</w:t>
      </w:r>
      <w:r>
        <w:rPr>
          <w:rFonts w:eastAsia="Arial" w:cs="Arial" w:ascii="Arial" w:hAnsi="Arial"/>
          <w:b/>
          <w:bCs/>
          <w:color w:val="auto"/>
          <w:sz w:val="20"/>
          <w:szCs w:val="20"/>
          <w:lang w:val="ro-RO"/>
        </w:rPr>
        <w:t xml:space="preserve">orkerMonths}}, </w:t>
      </w:r>
      <w:r>
        <w:rPr>
          <w:rFonts w:eastAsia="Arial" w:cs="Arial" w:ascii="Arial" w:hAnsi="Arial"/>
          <w:b/>
          <w:color w:val="auto"/>
          <w:sz w:val="20"/>
          <w:szCs w:val="20"/>
          <w:lang w:val="ro-RO"/>
        </w:rPr>
        <w:t>în perioada (ziua) {{training.dayFrom}} – {{training.dayTo}} ale lunii</w:t>
      </w:r>
      <w:r>
        <w:rPr>
          <w:rFonts w:eastAsia="Arial" w:cs="Arial" w:ascii="Arial" w:hAnsi="Arial"/>
          <w:color w:val="auto"/>
          <w:sz w:val="20"/>
          <w:szCs w:val="20"/>
          <w:lang w:val="ro-RO"/>
        </w:rPr>
        <w:t>;</w:t>
      </w:r>
    </w:p>
    <w:p>
      <w:pPr>
        <w:pStyle w:val="Normal"/>
        <w:widowControl/>
        <w:numPr>
          <w:ilvl w:val="0"/>
          <w:numId w:val="10"/>
        </w:numPr>
        <w:spacing w:before="0" w:after="40"/>
        <w:jc w:val="left"/>
        <w:rPr>
          <w:rStyle w:val="tpa1"/>
          <w:rFonts w:ascii="Arial" w:hAnsi="Arial" w:cs="Arial"/>
          <w:sz w:val="20"/>
          <w:szCs w:val="20"/>
        </w:rPr>
      </w:pPr>
      <w:r>
        <w:rPr>
          <w:rFonts w:eastAsia="Arial" w:cs="Arial" w:ascii="Arial" w:hAnsi="Arial"/>
          <w:color w:val="auto"/>
          <w:sz w:val="20"/>
          <w:szCs w:val="20"/>
          <w:lang w:val="ro-RO"/>
        </w:rPr>
        <w:t>I</w:t>
      </w:r>
      <w:r>
        <w:rPr>
          <w:rStyle w:val="tpa1"/>
          <w:rFonts w:eastAsia="Arial" w:cs="Arial" w:ascii="Arial" w:hAnsi="Arial"/>
          <w:color w:val="auto"/>
          <w:sz w:val="20"/>
          <w:szCs w:val="20"/>
          <w:lang w:val="ro-RO"/>
        </w:rPr>
        <w:t>nstruirea</w:t>
      </w:r>
      <w:r>
        <w:rPr>
          <w:rStyle w:val="tpa1"/>
          <w:rFonts w:eastAsia="Arial" w:cs="Arial" w:ascii="Arial" w:hAnsi="Arial"/>
          <w:b/>
          <w:color w:val="auto"/>
          <w:sz w:val="20"/>
          <w:szCs w:val="20"/>
          <w:lang w:val="ro-RO"/>
        </w:rPr>
        <w:t xml:space="preserve"> periodică se face suplimentar </w:t>
      </w:r>
      <w:r>
        <w:rPr>
          <w:rStyle w:val="tpa1"/>
          <w:rFonts w:eastAsia="Arial" w:cs="Arial" w:ascii="Arial" w:hAnsi="Arial"/>
          <w:color w:val="auto"/>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z w:val="20"/>
          <w:szCs w:val="20"/>
          <w:lang w:val="ro-RO"/>
        </w:rPr>
        <w:t>la introducerea oricărei noi tehnologii sau a unor proceduri de lucru.</w:t>
      </w:r>
    </w:p>
    <w:p>
      <w:pPr>
        <w:pStyle w:val="Heading1"/>
        <w:widowControl/>
        <w:numPr>
          <w:ilvl w:val="0"/>
          <w:numId w:val="12"/>
        </w:numPr>
        <w:spacing w:before="0" w:after="40"/>
        <w:ind w:right="0"/>
        <w:jc w:val="left"/>
        <w:rPr>
          <w:rStyle w:val="spar"/>
          <w:rFonts w:ascii="Arial" w:hAnsi="Arial" w:cs="Arial"/>
          <w:i/>
          <w:sz w:val="20"/>
          <w:szCs w:val="20"/>
        </w:rPr>
      </w:pPr>
      <w:r>
        <w:rPr>
          <w:rFonts w:eastAsia="Arial" w:cs="Arial" w:ascii="Arial" w:hAnsi="Arial"/>
          <w:i/>
          <w:color w:val="auto"/>
          <w:sz w:val="20"/>
          <w:szCs w:val="20"/>
          <w:lang w:val="ro-RO"/>
        </w:rPr>
        <w:t>(Preluare din H.G. 1425/ 2006 – Instruirea lucrătorilor – Art. 99 – conf. H.G. 767/ 2016, pct. 6)</w:t>
      </w:r>
      <w:r>
        <w:rPr>
          <w:rFonts w:eastAsia="Arial" w:cs="Arial" w:ascii="Arial" w:hAnsi="Arial"/>
          <w:color w:val="auto"/>
          <w:sz w:val="20"/>
          <w:szCs w:val="20"/>
          <w:lang w:val="ro-RO"/>
        </w:rPr>
        <w:t xml:space="preserve"> În cadrul {{client.legalName}}, </w:t>
      </w:r>
      <w:r>
        <w:rPr>
          <w:rStyle w:val="spar"/>
          <w:rFonts w:eastAsia="Arial" w:cs="Arial" w:ascii="Arial" w:hAnsi="Arial"/>
          <w:color w:val="auto"/>
          <w:sz w:val="20"/>
          <w:szCs w:val="20"/>
          <w:shd w:fill="FFFFFF" w:val="clear"/>
          <w:lang w:val="ro-RO"/>
        </w:rPr>
        <w:t>durata instruirii periodice prevăzute la art. 98 se stabilește de către angajator, împreună cu: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z w:val="20"/>
          <w:szCs w:val="20"/>
          <w:shd w:fill="FFFFFF" w:val="clear"/>
          <w:lang w:val="ro-RO"/>
        </w:rPr>
        <w:t>conducătorul locului de muncă respectiv,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z w:val="20"/>
          <w:szCs w:val="20"/>
          <w:shd w:fill="FFFFFF" w:val="clear"/>
          <w:lang w:val="ro-RO"/>
        </w:rPr>
        <w:t>lucrătorul desemnat,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z w:val="20"/>
          <w:szCs w:val="20"/>
          <w:shd w:fill="FFFFFF" w:val="clear"/>
          <w:lang w:val="ro-RO"/>
        </w:rPr>
        <w:t>serviciul extern de prevenire și protecție.</w:t>
      </w:r>
    </w:p>
    <w:p>
      <w:pPr>
        <w:pStyle w:val="Heading1"/>
        <w:widowControl/>
        <w:numPr>
          <w:ilvl w:val="2"/>
          <w:numId w:val="2"/>
        </w:numPr>
        <w:spacing w:before="0" w:after="40"/>
        <w:ind w:right="0"/>
        <w:jc w:val="left"/>
        <w:rPr>
          <w:rStyle w:val="tpa1"/>
          <w:rFonts w:ascii="Arial" w:hAnsi="Arial" w:cs="Arial"/>
          <w:sz w:val="20"/>
          <w:szCs w:val="20"/>
          <w:shd w:fill="FFFFFF" w:val="clear"/>
        </w:rPr>
      </w:pPr>
      <w:r>
        <w:rPr>
          <w:rFonts w:eastAsia="Arial" w:cs="Arial" w:ascii="Arial" w:hAnsi="Arial"/>
          <w:color w:val="auto"/>
          <w:sz w:val="20"/>
          <w:szCs w:val="20"/>
          <w:lang w:val="ro-RO"/>
        </w:rPr>
        <w:t xml:space="preserve">Durata instruirii suplimentare va fi de </w:t>
      </w:r>
      <w:r>
        <w:rPr>
          <w:rFonts w:eastAsia="Arial" w:cs="Arial" w:ascii="Arial" w:hAnsi="Arial"/>
          <w:b/>
          <w:color w:val="auto"/>
          <w:sz w:val="20"/>
          <w:szCs w:val="20"/>
          <w:lang w:val="ro-RO"/>
        </w:rPr>
        <w:t>4 ore</w:t>
      </w:r>
      <w:r>
        <w:rPr>
          <w:rFonts w:eastAsia="Arial" w:cs="Arial" w:ascii="Arial" w:hAnsi="Arial"/>
          <w:color w:val="auto"/>
          <w:sz w:val="20"/>
          <w:szCs w:val="20"/>
          <w:lang w:val="ro-RO"/>
        </w:rPr>
        <w:t>;</w:t>
      </w:r>
    </w:p>
    <w:p>
      <w:pPr>
        <w:pStyle w:val="Heading1"/>
        <w:widowControl/>
        <w:numPr>
          <w:ilvl w:val="0"/>
          <w:numId w:val="12"/>
        </w:numPr>
        <w:spacing w:before="0" w:after="40"/>
        <w:ind w:right="0"/>
        <w:jc w:val="left"/>
        <w:rPr>
          <w:rFonts w:ascii="Arial" w:hAnsi="Arial" w:cs="Arial"/>
          <w:i/>
          <w:sz w:val="20"/>
          <w:szCs w:val="20"/>
        </w:rPr>
      </w:pPr>
      <w:r>
        <w:rPr>
          <w:rFonts w:eastAsia="Arial" w:cs="Arial" w:ascii="Arial" w:hAnsi="Arial"/>
          <w:i/>
          <w:color w:val="auto"/>
          <w:sz w:val="20"/>
          <w:szCs w:val="20"/>
          <w:lang w:val="ro-RO"/>
        </w:rPr>
        <w:t>(Preluare din H.G. 1425/ 2006 –Art. 100)</w:t>
      </w:r>
      <w:r>
        <w:rPr>
          <w:rFonts w:eastAsia="Arial" w:cs="Arial" w:ascii="Arial" w:hAnsi="Arial"/>
          <w:color w:val="auto"/>
          <w:sz w:val="20"/>
          <w:szCs w:val="20"/>
          <w:lang w:val="ro-RO"/>
        </w:rPr>
        <w:t xml:space="preserve"> În cadrul {{client.legalName}}, i</w:t>
      </w:r>
      <w:r>
        <w:rPr>
          <w:rStyle w:val="tpa1"/>
          <w:rFonts w:eastAsia="Arial" w:cs="Arial" w:ascii="Arial" w:hAnsi="Arial"/>
          <w:color w:val="auto"/>
          <w:sz w:val="20"/>
          <w:szCs w:val="20"/>
          <w:lang w:val="ro-RO"/>
        </w:rPr>
        <w:t xml:space="preserve">nstruirea periodică suplimentară se va efectua pe baza tematicilor </w:t>
      </w:r>
      <w:r>
        <w:rPr>
          <w:rStyle w:val="tal1"/>
          <w:rFonts w:eastAsia="Arial" w:cs="Arial" w:ascii="Arial" w:hAnsi="Arial"/>
          <w:color w:val="auto"/>
          <w:sz w:val="20"/>
          <w:szCs w:val="20"/>
          <w:lang w:val="ro-RO"/>
        </w:rPr>
        <w:t>întocmite de către serviciul extern de prevenire și protecție – {{provider.legalName}} și aprobate de către angajator</w:t>
      </w:r>
      <w:r>
        <w:rPr>
          <w:rStyle w:val="tpa1"/>
          <w:rFonts w:eastAsia="Arial" w:cs="Arial" w:ascii="Arial" w:hAnsi="Arial"/>
          <w:color w:val="auto"/>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z w:val="20"/>
          <w:szCs w:val="20"/>
          <w:lang w:val="ro-RO"/>
        </w:rPr>
        <w:t>Verificarea cunoștințelor angajaților din cadrul {{cli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 se va face pe bază de teste, de către serviciul extern de prevenire și protecție prin specialiștii în domeniul securității și sănătății în muncă din cadrul {{pro</w:t>
      </w:r>
      <w:r>
        <w:rPr>
          <w:rStyle w:val="PageNumber"/>
          <w:rFonts w:eastAsia="Arial" w:cs="Arial" w:ascii="Arial" w:hAnsi="Arial"/>
          <w:color w:val="auto"/>
          <w:sz w:val="20"/>
          <w:szCs w:val="20"/>
          <w:lang w:val="ro-RO"/>
        </w:rPr>
        <w:t>vider.legalName}}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z w:val="20"/>
          <w:szCs w:val="20"/>
          <w:lang w:val="ro-RO"/>
        </w:rPr>
        <w:t>În cazul în care persoanele numite pe funcții cu atribuții în domeniul securității și sănătății în muncă (șefi de loc de muncă menționați mai sus), se schimbă, noii angajați vor lua la cunoștință despre prezenta decizie prin semnarea</w:t>
      </w:r>
      <w:r>
        <w:rPr>
          <w:rFonts w:eastAsia="Arial" w:cs="Arial" w:ascii="Arial" w:hAnsi="Arial"/>
          <w:b/>
          <w:color w:val="auto"/>
          <w:sz w:val="20"/>
          <w:szCs w:val="20"/>
          <w:lang w:val="ro-RO"/>
        </w:rPr>
        <w:t xml:space="preserve"> </w:t>
      </w:r>
      <w:r>
        <w:rPr>
          <w:rFonts w:eastAsia="Arial" w:cs="Arial" w:ascii="Arial" w:hAnsi="Arial"/>
          <w:color w:val="auto"/>
          <w:sz w:val="20"/>
          <w:szCs w:val="20"/>
          <w:lang w:val="ro-RO"/>
        </w:rPr>
        <w:t>procesului 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z w:val="20"/>
          <w:szCs w:val="20"/>
          <w:lang w:val="ro-RO"/>
        </w:rPr>
        <w:t>Prezența salariaților la instructaj este obligatorie și va fi asigurată de conducerea societății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z w:val="20"/>
          <w:szCs w:val="20"/>
          <w:lang w:val="ro-RO"/>
        </w:rPr>
        <w:t>{{cli</w:t>
      </w:r>
      <w:r>
        <w:rPr>
          <w:rStyle w:val="PageNumber"/>
          <w:rFonts w:eastAsia="Arial" w:cs="Arial" w:ascii="Arial" w:hAnsi="Arial"/>
          <w:b/>
          <w:color w:val="auto"/>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z w:val="20"/>
          <w:szCs w:val="20"/>
          <w:lang w:val="ro-RO"/>
        </w:rPr>
        <w:t>Prin semnătura din tabelul nominal de mai jos, fiecare persoană des</w:t>
      </w:r>
      <w:r>
        <w:rPr>
          <w:rFonts w:eastAsia="Arial" w:cs="Arial" w:ascii="Arial" w:hAnsi="Arial"/>
          <w:color w:val="auto"/>
          <w:sz w:val="20"/>
          <w:szCs w:val="20"/>
          <w:lang w:val="ro-RO"/>
        </w:rPr>
        <w:t>e</w:t>
      </w:r>
      <w:r>
        <w:rPr>
          <w:rStyle w:val="tpa1"/>
          <w:rFonts w:eastAsia="Arial" w:cs="Arial" w:ascii="Arial" w:hAnsi="Arial"/>
          <w:color w:val="auto"/>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z w:val="20"/>
          <w:szCs w:val="20"/>
          <w:lang w:val="ro-RO"/>
        </w:rPr>
        <w:t>{{issueDate}}.</w:t>
      </w:r>
    </w:p>
    <w:tbl>
      <w:tblPr>
        <w:tblW w:w="5000" w:type="pct"/>
        <w:jc w:val="left"/>
        <w:tblInd w:w="0" w:type="dxa"/>
        <w:tblLayout w:type="fixed"/>
        <w:tblCellMar>
          <w:top w:w="0" w:type="dxa"/>
          <w:left w:w="108" w:type="dxa"/>
          <w:bottom w:w="0"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3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b/>
        <w:sz w:val="16"/>
      </w:rPr>
    </w:pPr>
    <w:r>
      <w:rPr>
        <w:rStyle w:val="PageNumber"/>
        <w:rFonts w:eastAsia="Arial" w:cs="Arial" w:ascii="Arial" w:hAnsi="Arial"/>
        <w:b w:val="false"/>
        <w:color w:val="auto"/>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b/>
        <w:sz w:val="16"/>
      </w:rPr>
    </w:pPr>
    <w:r>
      <w:rPr>
        <w:rStyle w:val="PageNumber"/>
        <w:rFonts w:eastAsia="Arial" w:cs="Arial" w:ascii="Arial" w:hAnsi="Arial"/>
        <w:b w:val="false"/>
        <w:color w:val="auto"/>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b/>
        <w:sz w:val="16"/>
      </w:rPr>
    </w:pPr>
    <w:r>
      <w:rPr>
        <w:rStyle w:val="PageNumber"/>
        <w:rFonts w:eastAsia="Arial" w:cs="Arial" w:ascii="Arial" w:hAnsi="Arial"/>
        <w:b w:val="false"/>
        <w:color w:val="auto"/>
        <w:sz w:val="16"/>
        <w:szCs w:val="16"/>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Noto Sans Mono CJK SC" w:cs="Liberation Mono"/>
    </w:rPr>
  </w:style>
  <w:style w:type="character" w:styleId="Example">
    <w:name w:val="Example"/>
    <w:rPr>
      <w:rFonts w:ascii="Liberation Mono" w:hAnsi="Liberation Mono" w:eastAsia="Noto Sans Mono CJK SC" w:cs="Liberation Mono"/>
    </w:rPr>
  </w:style>
  <w:style w:type="character" w:styleId="UserEntry">
    <w:name w:val="User Entry"/>
    <w:rPr>
      <w:rFonts w:ascii="Liberation Mono" w:hAnsi="Liberation Mono" w:eastAsia="Noto Sans Mono CJK SC"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Noto Sans Mono CJK SC" w:cs="Liberation Mono"/>
    </w:rPr>
  </w:style>
  <w:style w:type="paragraph" w:styleId="Heading">
    <w:name w:val="Heading"/>
    <w:basedOn w:val="Normal"/>
    <w:next w:val="BodyTex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jc w:val="both"/>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1101</Words>
  <Characters>6916</Characters>
  <CharactersWithSpaces>7896</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2026-09-18T23:37:21Z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