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 w:val="true"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z w:val="24"/>
          <w:szCs w:val="20"/>
          <w:lang w:val="ro-RO"/>
        </w:rPr>
        <w:t>DECIZIA</w:t>
      </w:r>
    </w:p>
    <w:p>
      <w:pPr>
        <w:pStyle w:val="Heading7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Nr.: {{decisionNumber}} SSM Din: {{issueDate}}</w:t>
      </w:r>
    </w:p>
    <w:p>
      <w:pPr>
        <w:pStyle w:val="Heading7"/>
        <w:widowControl/>
        <w:numPr>
          <w:ilvl w:val="6"/>
          <w:numId w:val="1"/>
        </w:numPr>
        <w:spacing w:before="0" w:after="120"/>
        <w:ind w:hanging="0"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În baza prevederilor legale în domeniul securității și sănătății în muncă din Legea 319/ 2006 Art. 11, litera b și din H.G. 1425/ 2006 Art. 103, alin. (1-5), {{client.representativeName}} în calitate de {{client.representativeRole}} în cadrul {{client.legalName}}, începând cu data de {{issueDate}},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>DECIDE: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 w:eastAsia="en-US"/>
        </w:rPr>
        <w:t>La constatarea stării de pericol grav și iminent de accidentare se vor lua imediat următoarele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 xml:space="preserve"> </w:t>
      </w:r>
      <w:r>
        <w:rPr>
          <w:rFonts w:eastAsia="Arial" w:cs="Arial" w:ascii="Arial" w:hAnsi="Arial"/>
          <w:color w:val="auto"/>
          <w:sz w:val="20"/>
          <w:szCs w:val="20"/>
          <w:lang w:val="ro-RO" w:eastAsia="en-US"/>
        </w:rPr>
        <w:t>măsuri de securitate: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z w:val="20"/>
          <w:szCs w:val="20"/>
          <w:lang w:val="ro-RO" w:eastAsia="en-US"/>
        </w:rPr>
        <w:t>oprirea echipamentului de muncă și/sau activității;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z w:val="20"/>
          <w:szCs w:val="20"/>
          <w:lang w:val="ro-RO" w:eastAsia="en-US"/>
        </w:rPr>
        <w:t>evacuarea personalului din zona periculoasă;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z w:val="20"/>
          <w:szCs w:val="20"/>
          <w:lang w:val="ro-RO" w:eastAsia="en-US"/>
        </w:rPr>
        <w:t>anunțarea serviciilor specializate;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z w:val="20"/>
          <w:szCs w:val="20"/>
          <w:lang w:val="ro-RO" w:eastAsia="en-US"/>
        </w:rPr>
        <w:t>anunțarea conducătorilor ierarhici;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z w:val="20"/>
          <w:szCs w:val="20"/>
          <w:lang w:val="ro-RO" w:eastAsia="en-US"/>
        </w:rPr>
        <w:t>eliminarea cauzelor care au condus la apariția stării de pericol grav și iminent.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 w:eastAsia="en-US"/>
        </w:rPr>
        <w:t xml:space="preserve">În vederea realizării măsurilor menționate mai sus, 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>{{workplaceManager.name}} în calitate de {{workplaceManager.jobTitle}} în cadrul {{client.legalName}} desemnează următorii lucrători: {{imminentDangerText}}, cu următoarele atribuții: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Pentru oprirea imediată a echipamentelor de muncă: lucrătorii desemnați sau, după caz, personalul aflat la program;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Pentru evacuarea lucrătorilor din zona periculoasă: lucrătorii desemnați;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 xml:space="preserve">Pentru asigurarea </w:t>
      </w:r>
      <w:r>
        <w:rPr>
          <w:rFonts w:eastAsia="Arial" w:cs="Arial" w:ascii="Arial" w:hAnsi="Arial"/>
          <w:color w:val="auto"/>
          <w:sz w:val="20"/>
          <w:szCs w:val="20"/>
          <w:lang w:val="ro-RO" w:eastAsia="en-US"/>
        </w:rPr>
        <w:t xml:space="preserve">mijloacelor de comunicare necesare contactării serviciilor specializate: 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>lucrătorii desemnați, sau reprezentantul legal al administratorului.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 w:eastAsia="en-US"/>
        </w:rPr>
        <w:t xml:space="preserve">Pentru modul operativ de anunțare la nivel ierarhic superior: 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>lucrătorii desemnați, sau reprezentantul legal al administratorului.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 w:eastAsia="en-US"/>
        </w:rPr>
        <w:t xml:space="preserve">Pentru eliminarea stării de pericol grav și iminent, asigurarea instruirii, dotarea cu mijloace tehnice necesare intervenției și stabilirea serviciilor specializate care pot interveni: 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>lucrătorii desemnați, sau reprezentantul legal al administratorului.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Lucrătorii desemnați vor primi de asemenea o instruire corespunzătoare în domeniul securității și sănătății în muncă.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>{{client.legalName}}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480"/>
        <w:ind w:hanging="0" w:left="0" w:right="0"/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color w:val="auto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>PROCES VERBAL DE LUARE LA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sz w:val="20"/>
          <w:szCs w:val="20"/>
        </w:rPr>
      </w:pPr>
      <w:r>
        <w:rPr>
          <w:rStyle w:val="tpa1"/>
          <w:rFonts w:eastAsia="Arial" w:cs="Arial" w:ascii="Arial" w:hAnsi="Arial"/>
          <w:color w:val="auto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z w:val="20"/>
          <w:szCs w:val="20"/>
          <w:lang w:val="ro-RO"/>
        </w:rPr>
        <w:t>mnată confirmă că a luat cunoștință de prezenta decizie și se obligă să respecte întocmai obligațiile, atribuțiile și răspunderile ce reies din decizia Nr. {{decisionNumber}} SSM din {{issueDate}}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29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  <w:t>{{#imminentDanger}}{{name}}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  <w:t>{{issueDate}}{{/imminentDanger}}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</w:tr>
      <w:tr>
        <w:trPr>
          <w:trHeight w:val="29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</w:tr>
      <w:tr>
        <w:trPr>
          <w:trHeight w:val="29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sz w:val="2"/>
          <w:szCs w:val="20"/>
        </w:rPr>
      </w:pPr>
      <w:r>
        <w:rPr>
          <w:rFonts w:eastAsia="Arial" w:cs="Arial" w:ascii="Arial" w:hAnsi="Arial"/>
          <w:color w:val="auto"/>
          <w:sz w:val="2"/>
          <w:szCs w:val="20"/>
          <w:lang w:val="ro-RO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134" w:gutter="0" w:header="0" w:top="1134" w:footer="680" w:bottom="132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TimesNewRoman">
    <w:altName w:val="Times New Roman"/>
    <w:charset w:val="01"/>
    <w:family w:val="roman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 Unicode MS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 w:right="360"/>
      <w:jc w:val="center"/>
      <w:rPr>
        <w:b/>
        <w:sz w:val="16"/>
      </w:rPr>
    </w:pPr>
    <w:r>
      <w:rPr>
        <w:rStyle w:val="PageNumber"/>
        <w:rFonts w:eastAsia="Arial" w:cs="Arial" w:ascii="Arial" w:hAnsi="Arial"/>
        <w:b w:val="false"/>
        <w:color w:val="auto"/>
        <w:sz w:val="16"/>
        <w:szCs w:val="16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 w:right="360"/>
      <w:jc w:val="center"/>
      <w:rPr>
        <w:b/>
        <w:sz w:val="16"/>
      </w:rPr>
    </w:pPr>
    <w:r>
      <w:rPr>
        <w:rStyle w:val="PageNumber"/>
        <w:rFonts w:eastAsia="Arial" w:cs="Arial" w:ascii="Arial" w:hAnsi="Arial"/>
        <w:b w:val="false"/>
        <w:color w:val="auto"/>
        <w:sz w:val="16"/>
        <w:szCs w:val="16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 w:right="360"/>
      <w:jc w:val="center"/>
      <w:rPr>
        <w:b/>
        <w:sz w:val="16"/>
      </w:rPr>
    </w:pPr>
    <w:r>
      <w:rPr>
        <w:rStyle w:val="PageNumber"/>
        <w:rFonts w:eastAsia="Arial" w:cs="Arial" w:ascii="Arial" w:hAnsi="Arial"/>
        <w:b w:val="false"/>
        <w:color w:val="auto"/>
        <w:sz w:val="16"/>
        <w:szCs w:val="16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Art. %1."/>
      <w:lvlJc w:val="left"/>
      <w:pPr>
        <w:tabs>
          <w:tab w:val="num" w:pos="720"/>
        </w:tabs>
        <w:ind w:left="0" w:hanging="0"/>
      </w:pPr>
      <w:rPr>
        <w:rFonts w:ascii="Arial" w:hAnsi="Arial" w:cs="Arial"/>
        <w:b/>
        <w:sz w:val="18"/>
        <w:szCs w:val="1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sz w:val="48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ind w:firstLine="708" w:left="2124" w:right="0"/>
      <w:outlineLvl w:val="1"/>
    </w:pPr>
    <w:rPr>
      <w:sz w:val="72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outlineLvl w:val="2"/>
    </w:pPr>
    <w:rPr>
      <w:sz w:val="7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both"/>
      <w:outlineLvl w:val="3"/>
    </w:pPr>
    <w:rPr>
      <w:sz w:val="28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both"/>
      <w:outlineLvl w:val="6"/>
    </w:pPr>
    <w:rPr>
      <w:sz w:val="32"/>
    </w:rPr>
  </w:style>
  <w:style w:type="character" w:styleId="WW8Num1z0">
    <w:name w:val="WW8Num1z0"/>
    <w:rPr>
      <w:rFonts w:ascii="Arial" w:hAnsi="Arial" w:cs="Arial"/>
      <w:b/>
      <w:i w:val="false"/>
      <w:sz w:val="18"/>
      <w:szCs w:val="18"/>
    </w:rPr>
  </w:style>
  <w:style w:type="character" w:styleId="WW8Num1z1">
    <w:name w:val="WW8Num1z1"/>
    <w:rPr>
      <w:b/>
      <w:i w:val="false"/>
      <w:sz w:val="18"/>
      <w:szCs w:val="18"/>
    </w:rPr>
  </w:style>
  <w:style w:type="character" w:styleId="WW8Num2z0">
    <w:name w:val="WW8Num2z0"/>
    <w:rPr>
      <w:rFonts w:ascii="TimesNewRoman;Times New Roman" w:hAnsi="TimesNewRoman;Times New Roman" w:cs="TimesNewRoman;Times New Roman"/>
      <w:sz w:val="26"/>
    </w:rPr>
  </w:style>
  <w:style w:type="character" w:styleId="WW8Num3z0">
    <w:name w:val="WW8Num3z0"/>
    <w:rPr>
      <w:rFonts w:ascii="Symbol" w:hAnsi="Symbol" w:cs="Symbol"/>
    </w:rPr>
  </w:style>
  <w:style w:type="character" w:styleId="WW8Num4z0">
    <w:name w:val="WW8Num4z0"/>
    <w:rPr>
      <w:rFonts w:ascii="Arial" w:hAnsi="Arial" w:cs="Arial"/>
      <w:b/>
      <w:sz w:val="18"/>
      <w:szCs w:val="18"/>
    </w:rPr>
  </w:style>
  <w:style w:type="character" w:styleId="WW8Num4z1">
    <w:name w:val="WW8Num4z1"/>
    <w:rPr>
      <w:b/>
    </w:rPr>
  </w:style>
  <w:style w:type="character" w:styleId="WW8Num7z0">
    <w:name w:val="WW8Num7z0"/>
    <w:rPr>
      <w:rFonts w:ascii="Arial" w:hAnsi="Arial" w:eastAsia="Times New Roman" w:cs="Arial"/>
    </w:rPr>
  </w:style>
  <w:style w:type="character" w:styleId="WW8Num7z1">
    <w:name w:val="WW8Num7z1"/>
    <w:rPr>
      <w:rFonts w:ascii="Courier New" w:hAnsi="Courier New" w:cs="Courier New"/>
    </w:rPr>
  </w:style>
  <w:style w:type="character" w:styleId="WW8Num7z2">
    <w:name w:val="WW8Num7z2"/>
    <w:rPr>
      <w:rFonts w:ascii="Wingdings" w:hAnsi="Wingdings" w:cs="Wingdings"/>
    </w:rPr>
  </w:style>
  <w:style w:type="character" w:styleId="WW8Num7z3">
    <w:name w:val="WW8Num7z3"/>
    <w:rPr>
      <w:rFonts w:ascii="Symbol" w:hAnsi="Symbol" w:cs="Symbol"/>
    </w:rPr>
  </w:style>
  <w:style w:type="character" w:styleId="WW8Num8z0">
    <w:name w:val="WW8Num8z0"/>
    <w:rPr>
      <w:b/>
    </w:rPr>
  </w:style>
  <w:style w:type="character" w:styleId="WW8Num9z0">
    <w:name w:val="WW8Num9z0"/>
    <w:rPr>
      <w:rFonts w:ascii="Arial" w:hAnsi="Arial" w:cs="Arial"/>
      <w:b/>
      <w:sz w:val="22"/>
      <w:szCs w:val="22"/>
    </w:rPr>
  </w:style>
  <w:style w:type="character" w:styleId="WW8Num10z0">
    <w:name w:val="WW8Num10z0"/>
    <w:rPr/>
  </w:style>
  <w:style w:type="character" w:styleId="WW8Num11z0">
    <w:name w:val="WW8Num11z0"/>
    <w:rPr>
      <w:rFonts w:ascii="Arial" w:hAnsi="Arial" w:cs="Arial"/>
      <w:b/>
      <w:i w:val="false"/>
      <w:sz w:val="18"/>
      <w:szCs w:val="18"/>
      <w:lang w:val="it-IT"/>
    </w:rPr>
  </w:style>
  <w:style w:type="character" w:styleId="WW8Num12z0">
    <w:name w:val="WW8Num12z0"/>
    <w:rPr>
      <w:rFonts w:ascii="Arial" w:hAnsi="Arial" w:eastAsia="Times New Roman" w:cs="Arial"/>
    </w:rPr>
  </w:style>
  <w:style w:type="character" w:styleId="WW8Num12z1">
    <w:name w:val="WW8Num12z1"/>
    <w:rPr>
      <w:rFonts w:ascii="Courier New" w:hAnsi="Courier New" w:cs="Courier New"/>
    </w:rPr>
  </w:style>
  <w:style w:type="character" w:styleId="WW8Num12z2">
    <w:name w:val="WW8Num12z2"/>
    <w:rPr>
      <w:rFonts w:ascii="Wingdings" w:hAnsi="Wingdings" w:cs="Wingdings"/>
    </w:rPr>
  </w:style>
  <w:style w:type="character" w:styleId="WW8Num12z3">
    <w:name w:val="WW8Num12z3"/>
    <w:rPr>
      <w:rFonts w:ascii="Symbol" w:hAnsi="Symbol" w:cs="Symbol"/>
    </w:rPr>
  </w:style>
  <w:style w:type="character" w:styleId="WW8Num13z0">
    <w:name w:val="WW8Num13z0"/>
    <w:rPr>
      <w:rFonts w:ascii="Symbol" w:hAnsi="Symbol" w:cs="Symbol"/>
    </w:rPr>
  </w:style>
  <w:style w:type="character" w:styleId="WW8Num13z1">
    <w:name w:val="WW8Num13z1"/>
    <w:rPr>
      <w:rFonts w:ascii="Courier New" w:hAnsi="Courier New" w:cs="Courier New"/>
    </w:rPr>
  </w:style>
  <w:style w:type="character" w:styleId="WW8Num13z2">
    <w:name w:val="WW8Num13z2"/>
    <w:rPr>
      <w:rFonts w:ascii="Wingdings" w:hAnsi="Wingdings" w:cs="Wingdings"/>
    </w:rPr>
  </w:style>
  <w:style w:type="character" w:styleId="WW8Num14z0">
    <w:name w:val="WW8Num14z0"/>
    <w:rPr>
      <w:b/>
    </w:rPr>
  </w:style>
  <w:style w:type="character" w:styleId="WW8Num15z0">
    <w:name w:val="WW8Num15z0"/>
    <w:rPr>
      <w:b/>
      <w:sz w:val="24"/>
      <w:szCs w:val="24"/>
    </w:rPr>
  </w:style>
  <w:style w:type="character" w:styleId="WW8Num15z1">
    <w:name w:val="WW8Num15z1"/>
    <w:rPr/>
  </w:style>
  <w:style w:type="character" w:styleId="WW8Num16z0">
    <w:name w:val="WW8Num16z0"/>
    <w:rPr/>
  </w:style>
  <w:style w:type="character" w:styleId="WW8Num16z1">
    <w:name w:val="WW8Num16z1"/>
    <w:rPr>
      <w:rFonts w:ascii="Times New Roman" w:hAnsi="Times New Roman" w:eastAsia="Times New Roman" w:cs="Times New Roman"/>
    </w:rPr>
  </w:style>
  <w:style w:type="character" w:styleId="WW8Num19z0">
    <w:name w:val="WW8Num19z0"/>
    <w:rPr>
      <w:b/>
      <w:sz w:val="28"/>
    </w:rPr>
  </w:style>
  <w:style w:type="character" w:styleId="WW8Num20z0">
    <w:name w:val="WW8Num20z0"/>
    <w:rPr>
      <w:b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al1">
    <w:name w:val="tal1"/>
    <w:basedOn w:val="DefaultParagraphFont"/>
    <w:rPr/>
  </w:style>
  <w:style w:type="character" w:styleId="tpa1">
    <w:name w:val="tpa1"/>
    <w:basedOn w:val="DefaultParagraphFont"/>
    <w:rPr/>
  </w:style>
  <w:style w:type="character" w:styleId="tli1">
    <w:name w:val="tli1"/>
    <w:basedOn w:val="DefaultParagraphFont"/>
    <w:rPr/>
  </w:style>
  <w:style w:type="character" w:styleId="Hyperlink">
    <w:name w:val="Hyperlink"/>
    <w:rPr>
      <w:b/>
      <w:bCs/>
      <w:u w:val="single"/>
    </w:rPr>
  </w:style>
  <w:style w:type="character" w:styleId="pt1">
    <w:name w:val="pt1"/>
    <w:rPr>
      <w:b/>
      <w:bCs/>
    </w:rPr>
  </w:style>
  <w:style w:type="character" w:styleId="tpt1">
    <w:name w:val="tpt1"/>
    <w:basedOn w:val="DefaultParagraphFont"/>
    <w:rPr/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Noto Sans Mono CJK SC" w:cs="Liberation Mono"/>
    </w:rPr>
  </w:style>
  <w:style w:type="character" w:styleId="Example">
    <w:name w:val="Example"/>
    <w:rPr>
      <w:rFonts w:ascii="Liberation Mono" w:hAnsi="Liberation Mono" w:eastAsia="Noto Sans Mono CJK SC" w:cs="Liberation Mono"/>
    </w:rPr>
  </w:style>
  <w:style w:type="character" w:styleId="UserEntry">
    <w:name w:val="User Entry"/>
    <w:rPr>
      <w:rFonts w:ascii="Liberation Mono" w:hAnsi="Liberation Mono" w:eastAsia="Noto Sans Mono CJK SC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>
      <w:lang w:val="en-GB"/>
    </w:rPr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pPr>
      <w:spacing w:before="280" w:after="280"/>
    </w:pPr>
    <w:rPr>
      <w:rFonts w:ascii="Arial Unicode MS" w:hAnsi="Arial Unicode MS" w:eastAsia="Arial Unicode MS" w:cs="Arial Unicode MS"/>
      <w:color w:val="000000"/>
      <w:lang w:val="en-GB"/>
    </w:rPr>
  </w:style>
  <w:style w:type="paragraph" w:styleId="BodyTextIndent">
    <w:name w:val="Body Text Indent"/>
    <w:basedOn w:val="Normal"/>
    <w:pPr>
      <w:spacing w:lineRule="auto" w:line="360"/>
      <w:ind w:hanging="540" w:left="540" w:right="0"/>
    </w:pPr>
    <w:rPr>
      <w:sz w:val="28"/>
    </w:rPr>
  </w:style>
  <w:style w:type="paragraph" w:styleId="BodyTextIndent2">
    <w:name w:val="Body Text Indent 2"/>
    <w:basedOn w:val="Normal"/>
    <w:pPr>
      <w:spacing w:lineRule="auto" w:line="360"/>
      <w:ind w:hanging="0" w:left="360" w:right="0"/>
    </w:pPr>
    <w:rPr>
      <w:sz w:val="28"/>
    </w:rPr>
  </w:style>
  <w:style w:type="paragraph" w:styleId="BodyTextIndent3">
    <w:name w:val="Body Text Indent 3"/>
    <w:basedOn w:val="Normal"/>
    <w:pPr>
      <w:spacing w:lineRule="auto" w:line="360"/>
      <w:ind w:firstLine="708" w:left="0" w:right="0"/>
      <w:jc w:val="both"/>
    </w:pPr>
    <w:rPr>
      <w:sz w:val="28"/>
    </w:rPr>
  </w:style>
  <w:style w:type="paragraph" w:styleId="BlockText">
    <w:name w:val="Block Text"/>
    <w:basedOn w:val="Normal"/>
    <w:pPr>
      <w:ind w:hanging="0" w:left="1260" w:right="-900"/>
    </w:pPr>
    <w:rPr>
      <w:b/>
      <w:bCs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ListParagraph">
    <w:name w:val="List Paragraph"/>
    <w:basedOn w:val="Normal"/>
    <w:pPr>
      <w:ind w:hanging="0" w:left="720" w:right="0"/>
    </w:pPr>
    <w:rPr/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Application>LibreOffice/26.8.0.3$Linux_AARCH64 LibreOffice_project/680$Build-3</Application>
  <AppVersion>15.0000</AppVersion>
  <Pages>1</Pages>
  <Words>370</Words>
  <Characters>2722</Characters>
  <CharactersWithSpaces>3036</CharactersWithSpaces>
  <Paragraphs>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2024-03-04T14:01:00Z</dcterms:created>
  <dc:creator>Jinaru Adam Marian</dc:creator>
  <dc:description/>
  <dc:language>en-US</dc:language>
  <cp:lastModifiedBy/>
  <cp:lastPrinted>2022-10-08T18:24:00Z</cp:lastPrinted>
  <dcterms:modified xsi:type="dcterms:W3CDTF">2026-09-18T23:37:26Z</dcterms:modified>
  <cp:revision>5</cp:revision>
  <dc:subject>Organizarea activitatii S.S.M.</dc:subject>
  <dc:title>Decizia 1 in domeniul S.S.M.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