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3, 5, 6, Anexele 1, 2 (cu completări de mijloace de semnalizare),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O.U.G. 99/ 2000, Art. 1, 3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1048/ 2006,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O.U.G. 195/ 2002 cu modificările și completările ulterioare, Art. 1, 5, 7 – 10, 20, 21, 29 – 33, 35, 36, 55 – 60, 66, 68, 70, 72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 2006,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 xml:space="preserve"/>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