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 - 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și/sau unității potrivit prevederilor art. 15 alin. (1) pct. 8 din H.G. 1425/ 2006,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 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o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