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 xml:space="preserve">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Hotărârea 1048/ 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Prevederile Legii securității și sănătății în muncă nr. 319/ 2006 se aplică în totalitate domeniului menționat la art. 1, fără a aduce atingere dispozițiilor mai restrictive și/ 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 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cadrul întreprinderii și/ 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 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 2006, 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 sau a reprezentanților acestora cu privire la problemele la care se face referire în acest document, inclusiv în anexele acestuia, se desfășoară în conformitate cu prevederile art. 18 din Legea nr. 319/ 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creme de protecție/ 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pături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transport și depozitare.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Semimăști/ 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este necesară dotarea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