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listă este prevăzută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indemnizația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indemnizația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handicap, în vârstă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poliției rutiere, astfel încât aceasta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