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widowControl/>
        <w:spacing w:before="0" w:after="0"/>
        <w:ind w:hanging="0"/>
        <w:jc w:val="center"/>
        <w:rPr>
          <w:rFonts w:ascii="Arial" w:hAnsi="Arial" w:cs="Arial"/>
          <w:b/>
        </w:rPr>
      </w:pPr>
      <w:r>
        <w:rPr>
          <w:rFonts w:eastAsia="Arial" w:cs="Arial" w:ascii="Arial" w:hAnsi="Arial"/>
          <w:b/>
          <w:color w:val="auto"/>
          <w:spacing w:val="0"/>
          <w:w w:val="100"/>
          <w:sz w:val="24"/>
          <w:szCs w:val="20"/>
          <w:lang w:val="ro-RO"/>
        </w:rPr>
        <w:t>DECIZIA</w:t>
      </w:r>
    </w:p>
    <w:p>
      <w:pPr>
        <w:pStyle w:val="Normal"/>
        <w:widowControl/>
        <w:spacing w:before="0" w:after="240"/>
        <w:ind w:hanging="0"/>
        <w:jc w:val="center"/>
        <w:rPr>
          <w:rFonts w:ascii="Arial" w:hAnsi="Arial" w:cs="Arial"/>
        </w:rPr>
      </w:pPr>
      <w:r>
        <w:rPr>
          <w:rFonts w:eastAsia="Arial" w:cs="Arial" w:ascii="Arial" w:hAnsi="Arial"/>
          <w:color w:val="auto"/>
          <w:spacing w:val="0"/>
          <w:w w:val="100"/>
          <w:sz w:val="20"/>
          <w:szCs w:val="20"/>
          <w:lang w:val="ro-RO"/>
        </w:rPr>
        <w:t>Nr. {{</w:t>
      </w:r>
      <w:r>
        <w:rPr>
          <w:rStyle w:val="tpa1"/>
          <w:rFonts w:eastAsia="Arial" w:cs="Arial" w:ascii="Arial" w:hAnsi="Arial"/>
          <w:color w:val="auto"/>
          <w:spacing w:val="0"/>
          <w:w w:val="100"/>
          <w:sz w:val="20"/>
          <w:szCs w:val="20"/>
          <w:lang w:val="ro-RO"/>
        </w:rPr>
        <w:t>fire.d</w:t>
      </w:r>
      <w:r>
        <w:rPr>
          <w:rFonts w:eastAsia="Arial" w:cs="Arial" w:ascii="Arial" w:hAnsi="Arial"/>
          <w:color w:val="auto"/>
          <w:spacing w:val="0"/>
          <w:w w:val="100"/>
          <w:sz w:val="20"/>
          <w:szCs w:val="20"/>
          <w:lang w:val="ro-RO"/>
        </w:rPr>
        <w:t>ecisionNumbers.technician}} din {{issueDate}}</w:t>
      </w:r>
    </w:p>
    <w:p>
      <w:pPr>
        <w:pStyle w:val="Normal"/>
        <w:widowControl/>
        <w:spacing w:before="0" w:after="120"/>
        <w:ind w:hanging="0" w:right="0"/>
        <w:jc w:val="left"/>
        <w:rPr>
          <w:rFonts w:ascii="Arial" w:hAnsi="Arial" w:cs="Arial"/>
        </w:rPr>
      </w:pPr>
      <w:r>
        <w:rPr>
          <w:rFonts w:eastAsia="Arial" w:cs="Arial" w:ascii="Arial" w:hAnsi="Arial"/>
          <w:color w:val="auto"/>
          <w:spacing w:val="0"/>
          <w:w w:val="100"/>
          <w:sz w:val="20"/>
          <w:szCs w:val="20"/>
          <w:lang w:val="ro-RO"/>
        </w:rPr>
        <w:t>În baza prevederilor Legii 307/2006 – Art. 12 alin. (3), Art. 19 al</w:t>
      </w:r>
      <w:r>
        <w:rPr>
          <w:rFonts w:eastAsia="Arial" w:cs="Arial" w:ascii="Arial" w:hAnsi="Arial"/>
          <w:bCs/>
          <w:color w:val="auto"/>
          <w:spacing w:val="0"/>
          <w:w w:val="100"/>
          <w:sz w:val="20"/>
          <w:szCs w:val="20"/>
          <w:lang w:val="ro-RO"/>
        </w:rPr>
        <w:t>in. (1</w:t>
      </w:r>
      <w:r>
        <w:rPr>
          <w:rFonts w:eastAsia="Arial" w:cs="Arial" w:ascii="Arial" w:hAnsi="Arial"/>
          <w:color w:val="auto"/>
          <w:spacing w:val="0"/>
          <w:w w:val="100"/>
          <w:sz w:val="20"/>
          <w:szCs w:val="20"/>
          <w:lang w:val="ro-RO"/>
        </w:rPr>
        <w:t>) lit. a) și Art. 27 și ale OMAI 163/2007 – Art. 17 lit. i), {{client.representativeName}}, în calitate de {{client.representativeRole}} în cadrul {{client.legalName}}, începând cu data de {{issueDate}},</w:t>
      </w:r>
    </w:p>
    <w:p>
      <w:pPr>
        <w:pStyle w:val="Normal"/>
        <w:keepNext w:val="true"/>
        <w:widowControl/>
        <w:spacing w:before="240" w:after="120"/>
        <w:ind w:hanging="0"/>
        <w:jc w:val="center"/>
        <w:rPr>
          <w:rFonts w:ascii="Arial" w:hAnsi="Arial" w:cs="Arial"/>
          <w:b/>
        </w:rPr>
      </w:pPr>
      <w:r>
        <w:rPr>
          <w:rFonts w:eastAsia="Arial" w:cs="Arial" w:ascii="Arial" w:hAnsi="Arial"/>
          <w:b/>
          <w:color w:val="auto"/>
          <w:spacing w:val="0"/>
          <w:w w:val="100"/>
          <w:sz w:val="20"/>
          <w:szCs w:val="20"/>
          <w:lang w:val="ro-RO"/>
        </w:rPr>
        <w:t>DECIDE:</w:t>
      </w:r>
    </w:p>
    <w:p>
      <w:pPr>
        <w:pStyle w:val="Normal"/>
        <w:keepNext/>
        <w:pageBreakBefore w:val="false"/>
        <w:widowControl/>
        <w:numPr>
          <w:ilvl w:val="0"/>
          <w:numId w:val="0"/>
        </w:numPr>
        <w:spacing w:before="0" w:after="120"/>
        <w:ind w:hanging="0" w:left="0"/>
        <w:jc w:val="left"/>
        <w:rPr>
          <w:rFonts w:ascii="Arial" w:hAnsi="Arial" w:cs="Arial"/>
        </w:rPr>
      </w:pPr>
      <w:r>
        <w:rPr>
          <w:rFonts w:eastAsia="Arial" w:cs="Arial" w:ascii="Arial" w:hAnsi="Arial"/>
          <w:b w:val="false"/>
          <w:i w:val="false"/>
          <w:color w:val="auto"/>
          <w:spacing w:val="0"/>
          <w:w w:val="100"/>
          <w:sz w:val="20"/>
          <w:szCs w:val="20"/>
          <w:lang w:val="ro-RO"/>
        </w:rPr>
        <w:t>Modul de îndeplinire a atribuțiilor de cadru tehnic cu atribuții în domeniul apărării împotriva incendiilor pentru {{client.legalName}}, astfel:</w:t>
      </w:r>
    </w:p>
    <w:p>
      <w:pPr>
        <w:pStyle w:val="Normal"/>
        <w:keepNext w:val="false"/>
        <w:pageBreakBefore w:val="false"/>
        <w:widowControl/>
        <w:numPr>
          <w:ilvl w:val="0"/>
          <w:numId w:val="3"/>
        </w:numPr>
        <w:spacing w:before="120" w:after="60"/>
        <w:ind w:hanging="0" w:left="0"/>
        <w:jc w:val="left"/>
        <w:rPr>
          <w:rFonts w:ascii="Arial" w:hAnsi="Arial" w:cs="Arial"/>
        </w:rPr>
      </w:pPr>
      <w:r>
        <w:rPr>
          <w:rFonts w:eastAsia="Arial" w:cs="Arial" w:ascii="Arial" w:hAnsi="Arial"/>
          <w:b w:val="false"/>
          <w:i w:val="false"/>
          <w:color w:val="auto"/>
          <w:spacing w:val="0"/>
          <w:w w:val="100"/>
          <w:sz w:val="20"/>
          <w:szCs w:val="20"/>
          <w:lang w:val="ro-RO"/>
        </w:rPr>
        <w:t>{{client.legalName}}, care nu se încadrează în criteriile prevăzute de Legea 307/2006 – Art. 12 alin. (2), încheie, conform Legii 307/2006 – Art. 12 alin. (3), contract de prestări servicii cu {{provider.legalName}}{{#fireSafetyTechnician.authorization}}, persoană juridică autorizată să îndeplinească atribuții de cadru tehnic în condițiile Legii 307/2006 – Art. 12</w:t>
      </w:r>
      <w:r>
        <w:rPr>
          <w:rFonts w:eastAsia="Arial" w:cs="Arial" w:ascii="Arial" w:hAnsi="Arial"/>
          <w:b w:val="false"/>
          <w:i w:val="false"/>
          <w:color w:val="auto"/>
          <w:spacing w:val="0"/>
          <w:w w:val="100"/>
          <w:sz w:val="20"/>
          <w:szCs w:val="20"/>
          <w:vertAlign w:val="superscript"/>
          <w:lang w:val="ro-RO"/>
        </w:rPr>
        <w:t>2</w:t>
      </w:r>
      <w:r>
        <w:rPr>
          <w:rFonts w:eastAsia="Arial" w:cs="Arial" w:ascii="Arial" w:hAnsi="Arial"/>
          <w:b w:val="false"/>
          <w:i w:val="false"/>
          <w:color w:val="auto"/>
          <w:spacing w:val="0"/>
          <w:w w:val="100"/>
          <w:sz w:val="20"/>
          <w:szCs w:val="20"/>
          <w:lang w:val="ro-RO"/>
        </w:rPr>
        <w:t>, prin autorizația {{fireSafetyTechnician.authorization}}{{/fireSafetyTechnician.authorization}}, pentru îndeplinirea atribuțiilor de cadru tehnic cu atribuții în domeniul apărării împotriva incendiilor.</w:t>
      </w:r>
    </w:p>
    <w:p>
      <w:pPr>
        <w:pStyle w:val="Normal"/>
        <w:keepNext w:val="false"/>
        <w:pageBreakBefore w:val="false"/>
        <w:widowControl/>
        <w:numPr>
          <w:ilvl w:val="0"/>
          <w:numId w:val="3"/>
        </w:numPr>
        <w:spacing w:before="120" w:after="60"/>
        <w:ind w:hanging="0" w:left="0"/>
        <w:jc w:val="left"/>
        <w:rPr>
          <w:rFonts w:ascii="Arial" w:hAnsi="Arial" w:cs="Arial"/>
        </w:rPr>
      </w:pPr>
      <w:r>
        <w:rPr>
          <w:rFonts w:eastAsia="Arial" w:cs="Arial" w:ascii="Arial" w:hAnsi="Arial"/>
          <w:b w:val="false"/>
          <w:i w:val="false"/>
          <w:color w:val="auto"/>
          <w:spacing w:val="0"/>
          <w:w w:val="100"/>
          <w:sz w:val="20"/>
          <w:szCs w:val="20"/>
          <w:lang w:val="ro-RO"/>
        </w:rPr>
        <w:t>Atribuțiile de cadru tehnic se îndeplinesc, din partea {{provider.legalName}}, de {{fireSafetyTechnician.name}}, cadru tehnic cu atribuții în domeniul apărării împotriva incendiilor, certificat {{fireSafetyTechnician.certificate}}, a cărui copie este anexată contractului de prestări servicii.</w:t>
      </w:r>
    </w:p>
    <w:p>
      <w:pPr>
        <w:pStyle w:val="Normal"/>
        <w:keepNext w:val="false"/>
        <w:pageBreakBefore w:val="false"/>
        <w:widowControl/>
        <w:numPr>
          <w:ilvl w:val="0"/>
          <w:numId w:val="3"/>
        </w:numPr>
        <w:spacing w:before="120" w:after="60"/>
        <w:ind w:hanging="0" w:left="0"/>
        <w:jc w:val="left"/>
        <w:rPr>
          <w:rFonts w:ascii="Arial" w:hAnsi="Arial" w:cs="Arial"/>
        </w:rPr>
      </w:pPr>
      <w:r>
        <w:rPr>
          <w:rFonts w:eastAsia="Arial" w:cs="Arial" w:ascii="Arial" w:hAnsi="Arial"/>
          <w:b w:val="false"/>
          <w:i w:val="false"/>
          <w:color w:val="auto"/>
          <w:spacing w:val="0"/>
          <w:w w:val="100"/>
          <w:sz w:val="20"/>
          <w:szCs w:val="20"/>
          <w:lang w:val="ro-RO"/>
        </w:rPr>
        <w:t>Activitatea cadrului tehnic se desfășoară în limitele stabilite de Legea 307/2006 – Art. 27 și de certificatul de cadru tehnic. Obligațiile principale ale cadrului tehnic, prevăzute la Art. 27 alin. (1), sunt redate în anexa prezentei decizii.</w:t>
      </w:r>
    </w:p>
    <w:p>
      <w:pPr>
        <w:pStyle w:val="Normal"/>
        <w:keepNext w:val="false"/>
        <w:pageBreakBefore w:val="false"/>
        <w:widowControl/>
        <w:numPr>
          <w:ilvl w:val="0"/>
          <w:numId w:val="3"/>
        </w:numPr>
        <w:spacing w:before="120" w:after="60"/>
        <w:ind w:hanging="0" w:left="0"/>
        <w:jc w:val="left"/>
        <w:rPr>
          <w:rFonts w:ascii="Arial" w:hAnsi="Arial" w:cs="Arial"/>
        </w:rPr>
      </w:pPr>
      <w:r>
        <w:rPr>
          <w:rFonts w:eastAsia="Arial" w:cs="Arial" w:ascii="Arial" w:hAnsi="Arial"/>
          <w:b w:val="false"/>
          <w:i w:val="false"/>
          <w:color w:val="auto"/>
          <w:spacing w:val="0"/>
          <w:w w:val="100"/>
          <w:sz w:val="20"/>
          <w:szCs w:val="20"/>
          <w:lang w:val="ro-RO"/>
        </w:rPr>
        <w:t>De modul de îndeplinire a prevederilor contractului din partea beneficiarului răspunde {{fire.coordinator.name}}, având funcția de {{fire.coordinator.jobTitle}} în cadrul {{client.legalName}}.</w:t>
      </w:r>
    </w:p>
    <w:p>
      <w:pPr>
        <w:pStyle w:val="Normal"/>
        <w:keepNext w:val="true"/>
        <w:widowControl/>
        <w:spacing w:before="480" w:after="0"/>
        <w:ind w:hanging="0" w:left="0" w:right="0"/>
        <w:jc w:val="center"/>
        <w:rPr>
          <w:rFonts w:ascii="Arial" w:hAnsi="Arial" w:cs="Arial"/>
          <w:b/>
        </w:rPr>
      </w:pPr>
      <w:r>
        <w:rPr>
          <w:rFonts w:eastAsia="Arial" w:cs="Arial" w:ascii="Arial" w:hAnsi="Arial"/>
          <w:b/>
          <w:color w:val="auto"/>
          <w:spacing w:val="0"/>
          <w:w w:val="100"/>
          <w:sz w:val="20"/>
          <w:szCs w:val="20"/>
          <w:lang w:val="ro-RO"/>
        </w:rPr>
        <w:t>{{cli</w:t>
      </w:r>
      <w:r>
        <w:rPr>
          <w:rStyle w:val="PageNumber"/>
          <w:rFonts w:eastAsia="Arial" w:cs="Arial" w:ascii="Arial" w:hAnsi="Arial"/>
          <w:b/>
          <w:color w:val="auto"/>
          <w:spacing w:val="0"/>
          <w:w w:val="100"/>
          <w:sz w:val="20"/>
          <w:szCs w:val="20"/>
          <w:lang w:val="ro-RO"/>
        </w:rPr>
        <w:t>ent.legalName}}</w:t>
      </w:r>
    </w:p>
    <w:p>
      <w:pPr>
        <w:pStyle w:val="Normal"/>
        <w:keepNext w:val="true"/>
        <w:widowControl/>
        <w:spacing w:before="0" w:after="240"/>
        <w:ind w:hanging="0" w:left="0" w:right="0"/>
        <w:jc w:val="center"/>
        <w:rPr>
          <w:rFonts w:ascii="Arial" w:hAnsi="Arial" w:cs="Arial"/>
          <w:b/>
        </w:rPr>
      </w:pPr>
      <w:r>
        <w:rPr>
          <w:rFonts w:eastAsia="Arial" w:cs="Arial" w:ascii="Arial" w:hAnsi="Arial"/>
          <w:color w:val="auto"/>
          <w:spacing w:val="0"/>
          <w:w w:val="100"/>
          <w:sz w:val="20"/>
          <w:szCs w:val="20"/>
          <w:lang w:val="ro-RO"/>
        </w:rPr>
        <w:t>{{client.representativeRole}}</w:t>
      </w:r>
    </w:p>
    <w:p>
      <w:pPr>
        <w:pStyle w:val="Normal"/>
        <w:keepNext w:val="false"/>
        <w:widowControl/>
        <w:spacing w:before="0" w:after="120"/>
        <w:ind w:hanging="0" w:left="0" w:right="0"/>
        <w:jc w:val="center"/>
        <w:rPr>
          <w:rFonts w:ascii="Arial" w:hAnsi="Arial" w:cs="Arial"/>
          <w:b/>
          <w:lang w:val="fr-FR"/>
        </w:rPr>
      </w:pPr>
      <w:r>
        <w:rPr>
          <w:rFonts w:eastAsia="Arial" w:cs="Arial" w:ascii="Arial" w:hAnsi="Arial"/>
          <w:b/>
          <w:color w:val="auto"/>
          <w:spacing w:val="0"/>
          <w:w w:val="100"/>
          <w:sz w:val="20"/>
          <w:szCs w:val="20"/>
          <w:lang w:val="ro-RO"/>
        </w:rPr>
        <w:t>{{client.representativeName}}</w:t>
      </w:r>
    </w:p>
    <w:p>
      <w:pPr>
        <w:pStyle w:val="Normal"/>
        <w:keepNext w:val="true"/>
        <w:widowControl/>
        <w:spacing w:before="240" w:after="120"/>
        <w:ind w:hanging="0"/>
        <w:jc w:val="center"/>
        <w:rPr>
          <w:rFonts w:ascii="Arial" w:hAnsi="Arial" w:cs="Arial"/>
          <w:b/>
          <w:lang w:val="it-CH"/>
        </w:rPr>
      </w:pPr>
      <w:r>
        <w:rPr>
          <w:rFonts w:eastAsia="Arial" w:cs="Arial" w:ascii="Arial" w:hAnsi="Arial"/>
          <w:b/>
          <w:color w:val="auto"/>
          <w:spacing w:val="0"/>
          <w:w w:val="100"/>
          <w:sz w:val="20"/>
          <w:szCs w:val="20"/>
          <w:lang w:val="ro-RO"/>
        </w:rPr>
        <w:t>PROCES VERBAL DE LUARE LA CUNOȘTINȚĂ</w:t>
      </w:r>
    </w:p>
    <w:p>
      <w:pPr>
        <w:pStyle w:val="Normal"/>
        <w:keepNext w:val="true"/>
        <w:widowControl/>
        <w:spacing w:before="0" w:after="120"/>
        <w:ind w:hanging="0" w:right="0"/>
        <w:jc w:val="left"/>
        <w:rPr>
          <w:rStyle w:val="tpa1"/>
          <w:rFonts w:ascii="Arial" w:hAnsi="Arial" w:cs="Arial"/>
          <w:lang w:val="it-CH"/>
        </w:rPr>
      </w:pPr>
      <w:r>
        <w:rPr>
          <w:rStyle w:val="tpa1"/>
          <w:rFonts w:eastAsia="Arial" w:cs="Arial" w:ascii="Arial" w:hAnsi="Arial"/>
          <w:color w:val="auto"/>
          <w:spacing w:val="0"/>
          <w:w w:val="100"/>
          <w:sz w:val="20"/>
          <w:szCs w:val="20"/>
          <w:lang w:val="ro-RO"/>
        </w:rPr>
        <w:t>Prin semnătura din tabelul nominal de mai jos, fiecare persoană des</w:t>
      </w:r>
      <w:r>
        <w:rPr>
          <w:rFonts w:eastAsia="Arial" w:cs="Arial" w:ascii="Arial" w:hAnsi="Arial"/>
          <w:color w:val="auto"/>
          <w:spacing w:val="0"/>
          <w:w w:val="100"/>
          <w:sz w:val="20"/>
          <w:szCs w:val="20"/>
          <w:lang w:val="ro-RO"/>
        </w:rPr>
        <w:t>e</w:t>
      </w:r>
      <w:r>
        <w:rPr>
          <w:rStyle w:val="tpa1"/>
          <w:rFonts w:eastAsia="Arial" w:cs="Arial" w:ascii="Arial" w:hAnsi="Arial"/>
          <w:color w:val="auto"/>
          <w:spacing w:val="0"/>
          <w:w w:val="100"/>
          <w:sz w:val="20"/>
          <w:szCs w:val="20"/>
          <w:lang w:val="ro-RO"/>
        </w:rPr>
        <w:t>mnată confirmă că a luat cunoștință de prezenta decizie și se obligă să respecte întocmai obligațiile, atribuțiile și răspunderile ce reies din decizia {{cli</w:t>
      </w:r>
      <w:r>
        <w:rPr>
          <w:rStyle w:val="PageNumber"/>
          <w:rFonts w:eastAsia="Arial" w:cs="Arial" w:ascii="Arial" w:hAnsi="Arial"/>
          <w:color w:val="auto"/>
          <w:spacing w:val="0"/>
          <w:w w:val="100"/>
          <w:sz w:val="20"/>
          <w:szCs w:val="20"/>
          <w:lang w:val="ro-RO"/>
        </w:rPr>
        <w:t>ent.legalName}}</w:t>
      </w:r>
      <w:r>
        <w:rPr>
          <w:rStyle w:val="tpa1"/>
          <w:rFonts w:eastAsia="Arial" w:cs="Arial" w:ascii="Arial" w:hAnsi="Arial"/>
          <w:color w:val="auto"/>
          <w:spacing w:val="0"/>
          <w:w w:val="100"/>
          <w:sz w:val="20"/>
          <w:szCs w:val="20"/>
          <w:lang w:val="ro-RO"/>
        </w:rPr>
        <w:t>, nr. {{fire.dec</w:t>
      </w:r>
      <w:r>
        <w:rPr>
          <w:rFonts w:eastAsia="Arial" w:cs="Arial" w:ascii="Arial" w:hAnsi="Arial"/>
          <w:color w:val="auto"/>
          <w:spacing w:val="0"/>
          <w:w w:val="100"/>
          <w:sz w:val="20"/>
          <w:szCs w:val="20"/>
          <w:lang w:val="ro-RO"/>
        </w:rPr>
        <w:t>isionNumbers.technician}} din {{issueDate}}.</w:t>
      </w:r>
    </w:p>
    <w:tbl>
      <w:tblPr>
        <w:tblW w:w="5000" w:type="pct"/>
        <w:jc w:val="left"/>
        <w:tblInd w:w="0" w:type="dxa"/>
        <w:tblLayout w:type="fixed"/>
        <w:tblCellMar>
          <w:top w:w="17" w:type="dxa"/>
          <w:left w:w="108" w:type="dxa"/>
          <w:bottom w:w="17" w:type="dxa"/>
          <w:right w:w="108" w:type="dxa"/>
        </w:tblCellMar>
      </w:tblPr>
      <w:tblGrid>
        <w:gridCol w:w="620"/>
        <w:gridCol w:w="3459"/>
        <w:gridCol w:w="2075"/>
        <w:gridCol w:w="1298"/>
        <w:gridCol w:w="1903"/>
      </w:tblGrid>
      <w:tr>
        <w:trPr>
          <w:tblHeader w:val="true"/>
          <w:trHeight w:val="70" w:hRule="atLeast"/>
        </w:trPr>
        <w:tc>
          <w:tcPr>
            <w:tcW w:w="620" w:type="dxa"/>
            <w:tcBorders>
              <w:top w:val="single" w:sz="4" w:space="0" w:color="000000"/>
              <w:left w:val="single" w:sz="4" w:space="0" w:color="000000"/>
              <w:bottom w:val="single" w:sz="4" w:space="0" w:color="000000"/>
              <w:right w:val="single" w:sz="4" w:space="0" w:color="000000"/>
            </w:tcBorders>
            <w:shd w:fill="F3F3F3" w:val="clear"/>
            <w:vAlign w:val="center"/>
          </w:tcPr>
          <w:p>
            <w:pPr>
              <w:pStyle w:val="Normal"/>
              <w:keepNext w:val="true"/>
              <w:widowControl/>
              <w:spacing w:before="0" w:after="0"/>
              <w:jc w:val="center"/>
              <w:rPr>
                <w:rFonts w:ascii="Arial" w:hAnsi="Arial" w:cs="Arial"/>
                <w:b/>
              </w:rPr>
            </w:pPr>
            <w:r>
              <w:rPr>
                <w:rFonts w:eastAsia="Arial" w:cs="Arial" w:ascii="Arial" w:hAnsi="Arial"/>
                <w:b/>
                <w:color w:val="auto"/>
                <w:spacing w:val="0"/>
                <w:w w:val="100"/>
                <w:sz w:val="20"/>
                <w:szCs w:val="20"/>
                <w:lang w:val="ro-RO"/>
              </w:rPr>
              <w:t>Nr. Crt.</w:t>
            </w:r>
          </w:p>
        </w:tc>
        <w:tc>
          <w:tcPr>
            <w:tcW w:w="3459" w:type="dxa"/>
            <w:tcBorders>
              <w:top w:val="single" w:sz="4" w:space="0" w:color="000000"/>
              <w:left w:val="single" w:sz="4" w:space="0" w:color="000000"/>
              <w:bottom w:val="single" w:sz="4" w:space="0" w:color="000000"/>
              <w:right w:val="single" w:sz="4" w:space="0" w:color="000000"/>
            </w:tcBorders>
            <w:shd w:fill="F3F3F3" w:val="clear"/>
            <w:vAlign w:val="center"/>
          </w:tcPr>
          <w:p>
            <w:pPr>
              <w:pStyle w:val="Normal"/>
              <w:widowControl/>
              <w:spacing w:before="0" w:after="0"/>
              <w:jc w:val="center"/>
              <w:rPr>
                <w:rFonts w:ascii="Arial" w:hAnsi="Arial" w:cs="Arial"/>
                <w:b/>
              </w:rPr>
            </w:pPr>
            <w:r>
              <w:rPr>
                <w:rFonts w:eastAsia="Arial" w:cs="Arial" w:ascii="Arial" w:hAnsi="Arial"/>
                <w:b/>
                <w:color w:val="auto"/>
                <w:spacing w:val="0"/>
                <w:w w:val="100"/>
                <w:sz w:val="20"/>
                <w:szCs w:val="20"/>
                <w:lang w:val="ro-RO"/>
              </w:rPr>
              <w:t>Numele și prenumele</w:t>
            </w:r>
          </w:p>
        </w:tc>
        <w:tc>
          <w:tcPr>
            <w:tcW w:w="2075" w:type="dxa"/>
            <w:tcBorders>
              <w:top w:val="single" w:sz="4" w:space="0" w:color="000000"/>
              <w:left w:val="single" w:sz="4" w:space="0" w:color="000000"/>
              <w:bottom w:val="single" w:sz="4" w:space="0" w:color="000000"/>
              <w:right w:val="single" w:sz="4" w:space="0" w:color="000000"/>
            </w:tcBorders>
            <w:shd w:fill="F3F3F3" w:val="clear"/>
            <w:vAlign w:val="center"/>
          </w:tcPr>
          <w:p>
            <w:pPr>
              <w:pStyle w:val="Normal"/>
              <w:widowControl/>
              <w:spacing w:before="0" w:after="0"/>
              <w:jc w:val="center"/>
              <w:rPr>
                <w:rFonts w:ascii="Arial" w:hAnsi="Arial" w:cs="Arial"/>
                <w:b/>
              </w:rPr>
            </w:pPr>
            <w:r>
              <w:rPr>
                <w:rFonts w:eastAsia="Arial" w:cs="Arial" w:ascii="Arial" w:hAnsi="Arial"/>
                <w:b/>
                <w:color w:val="auto"/>
                <w:spacing w:val="0"/>
                <w:w w:val="100"/>
                <w:sz w:val="20"/>
                <w:szCs w:val="20"/>
                <w:lang w:val="ro-RO"/>
              </w:rPr>
              <w:t>Funcția</w:t>
            </w:r>
          </w:p>
        </w:tc>
        <w:tc>
          <w:tcPr>
            <w:tcW w:w="1298" w:type="dxa"/>
            <w:tcBorders>
              <w:top w:val="single" w:sz="4" w:space="0" w:color="000000"/>
              <w:left w:val="single" w:sz="4" w:space="0" w:color="000000"/>
              <w:bottom w:val="single" w:sz="4" w:space="0" w:color="000000"/>
              <w:right w:val="single" w:sz="4" w:space="0" w:color="000000"/>
            </w:tcBorders>
            <w:shd w:fill="F3F3F3" w:val="clear"/>
            <w:vAlign w:val="center"/>
          </w:tcPr>
          <w:p>
            <w:pPr>
              <w:pStyle w:val="Normal"/>
              <w:widowControl/>
              <w:spacing w:before="0" w:after="0"/>
              <w:jc w:val="center"/>
              <w:rPr>
                <w:rFonts w:ascii="Arial" w:hAnsi="Arial" w:cs="Arial"/>
                <w:b/>
              </w:rPr>
            </w:pPr>
            <w:r>
              <w:rPr>
                <w:rFonts w:eastAsia="Arial" w:cs="Arial" w:ascii="Arial" w:hAnsi="Arial"/>
                <w:b/>
                <w:color w:val="auto"/>
                <w:spacing w:val="0"/>
                <w:w w:val="100"/>
                <w:sz w:val="20"/>
                <w:szCs w:val="20"/>
                <w:lang w:val="ro-RO"/>
              </w:rPr>
              <w:t>Data primirii</w:t>
            </w:r>
          </w:p>
        </w:tc>
        <w:tc>
          <w:tcPr>
            <w:tcW w:w="1903" w:type="dxa"/>
            <w:tcBorders>
              <w:top w:val="single" w:sz="4" w:space="0" w:color="000000"/>
              <w:left w:val="single" w:sz="4" w:space="0" w:color="000000"/>
              <w:bottom w:val="single" w:sz="4" w:space="0" w:color="000000"/>
              <w:right w:val="single" w:sz="4" w:space="0" w:color="000000"/>
            </w:tcBorders>
            <w:shd w:fill="F3F3F3" w:val="clear"/>
            <w:vAlign w:val="center"/>
          </w:tcPr>
          <w:p>
            <w:pPr>
              <w:pStyle w:val="Normal"/>
              <w:widowControl/>
              <w:spacing w:before="0" w:after="0"/>
              <w:jc w:val="center"/>
              <w:rPr>
                <w:rFonts w:ascii="Arial" w:hAnsi="Arial" w:cs="Arial"/>
                <w:b/>
              </w:rPr>
            </w:pPr>
            <w:r>
              <w:rPr>
                <w:rFonts w:eastAsia="Arial" w:cs="Arial" w:ascii="Arial" w:hAnsi="Arial"/>
                <w:b/>
                <w:color w:val="auto"/>
                <w:spacing w:val="0"/>
                <w:w w:val="100"/>
                <w:sz w:val="20"/>
                <w:szCs w:val="20"/>
                <w:lang w:val="ro-RO"/>
              </w:rPr>
              <w:t>Semnătura de primire</w:t>
            </w:r>
          </w:p>
        </w:tc>
      </w:tr>
      <w:tr>
        <w:trPr>
          <w:trHeight w:val="290" w:hRule="atLeast"/>
        </w:trPr>
        <w:tc>
          <w:tcPr>
            <w:tcW w:w="62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numPr>
                <w:ilvl w:val="0"/>
                <w:numId w:val="2"/>
              </w:numPr>
              <w:snapToGrid w:val="false"/>
              <w:spacing w:before="0" w:after="0"/>
              <w:ind w:hanging="360" w:left="360" w:right="-108"/>
              <w:jc w:val="center"/>
              <w:rPr>
                <w:rFonts w:ascii="Arial" w:hAnsi="Arial" w:cs="Arial"/>
                <w:b/>
              </w:rPr>
            </w:pPr>
            <w:r>
              <w:rPr>
                <w:rFonts w:eastAsia="Arial" w:cs="Arial" w:ascii="Arial" w:hAnsi="Arial"/>
                <w:b/>
                <w:color w:val="auto"/>
                <w:spacing w:val="0"/>
                <w:w w:val="100"/>
                <w:sz w:val="20"/>
                <w:szCs w:val="20"/>
                <w:lang w:val="ro-RO"/>
              </w:rPr>
            </w:r>
          </w:p>
        </w:tc>
        <w:tc>
          <w:tcPr>
            <w:tcW w:w="3459"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rPr>
                <w:rFonts w:ascii="Arial" w:hAnsi="Arial" w:cs="Arial"/>
              </w:rPr>
            </w:pPr>
            <w:r>
              <w:rPr>
                <w:rFonts w:eastAsia="Arial" w:cs="Arial" w:ascii="Arial" w:hAnsi="Arial"/>
                <w:color w:val="auto"/>
                <w:spacing w:val="0"/>
                <w:w w:val="100"/>
                <w:sz w:val="20"/>
                <w:szCs w:val="20"/>
                <w:lang w:val="ro-RO"/>
              </w:rPr>
              <w:t>{{#fire.designated}}{{name}}</w:t>
            </w:r>
          </w:p>
        </w:tc>
        <w:tc>
          <w:tcPr>
            <w:tcW w:w="2075"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center"/>
              <w:rPr>
                <w:rFonts w:ascii="Arial" w:hAnsi="Arial" w:cs="Arial"/>
              </w:rPr>
            </w:pPr>
            <w:r>
              <w:rPr>
                <w:rFonts w:eastAsia="Arial" w:cs="Arial" w:ascii="Arial" w:hAnsi="Arial"/>
                <w:color w:val="auto"/>
                <w:spacing w:val="0"/>
                <w:w w:val="100"/>
                <w:sz w:val="20"/>
                <w:szCs w:val="20"/>
                <w:lang w:val="ro-RO"/>
              </w:rPr>
              <w:t>{{jobTitle}}</w:t>
            </w:r>
          </w:p>
        </w:tc>
        <w:tc>
          <w:tcPr>
            <w:tcW w:w="1298" w:type="dxa"/>
            <w:tcBorders>
              <w:top w:val="single" w:sz="4" w:space="0" w:color="000000"/>
              <w:left w:val="single" w:sz="4" w:space="0" w:color="000000"/>
              <w:bottom w:val="single" w:sz="4" w:space="0" w:color="000000"/>
              <w:right w:val="single" w:sz="4" w:space="0" w:color="000000"/>
            </w:tcBorders>
            <w:vAlign w:val="center"/>
          </w:tcPr>
          <w:p>
            <w:pPr>
              <w:pStyle w:val="Normal"/>
              <w:widowControl/>
              <w:spacing w:before="0" w:after="0"/>
              <w:jc w:val="center"/>
              <w:rPr>
                <w:rFonts w:ascii="Arial" w:hAnsi="Arial" w:cs="Arial"/>
              </w:rPr>
            </w:pPr>
            <w:r>
              <w:rPr>
                <w:rFonts w:eastAsia="Arial" w:cs="Arial" w:ascii="Arial" w:hAnsi="Arial"/>
                <w:color w:val="auto"/>
                <w:spacing w:val="0"/>
                <w:w w:val="100"/>
                <w:sz w:val="20"/>
                <w:szCs w:val="20"/>
                <w:lang w:val="ro-RO"/>
              </w:rPr>
              <w:t>{{issueDate}}{{/fire.designated}}</w:t>
            </w:r>
          </w:p>
        </w:tc>
        <w:tc>
          <w:tcPr>
            <w:tcW w:w="1903" w:type="dxa"/>
            <w:tcBorders>
              <w:top w:val="single" w:sz="4" w:space="0" w:color="000000"/>
              <w:left w:val="single" w:sz="4" w:space="0" w:color="000000"/>
              <w:bottom w:val="single" w:sz="4" w:space="0" w:color="000000"/>
              <w:right w:val="single" w:sz="4" w:space="0" w:color="000000"/>
            </w:tcBorders>
          </w:tcPr>
          <w:p>
            <w:pPr>
              <w:pStyle w:val="Normal"/>
              <w:widowControl/>
              <w:snapToGrid w:val="false"/>
              <w:spacing w:before="0" w:after="0"/>
              <w:rPr>
                <w:rFonts w:ascii="Arial" w:hAnsi="Arial" w:cs="Arial"/>
              </w:rPr>
            </w:pPr>
            <w:r>
              <w:rPr>
                <w:rFonts w:eastAsia="Arial" w:cs="Arial" w:ascii="Arial" w:hAnsi="Arial"/>
                <w:color w:val="auto"/>
                <w:spacing w:val="0"/>
                <w:w w:val="100"/>
                <w:sz w:val="20"/>
                <w:szCs w:val="20"/>
                <w:lang w:val="ro-RO"/>
              </w:rPr>
            </w:r>
          </w:p>
        </w:tc>
      </w:tr>
      <w:tr>
        <w:trPr>
          <w:trHeight w:val="290" w:hRule="atLeast"/>
        </w:trPr>
        <w:tc>
          <w:tcPr>
            <w:tcW w:w="62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numPr>
                <w:ilvl w:val="0"/>
                <w:numId w:val="2"/>
              </w:numPr>
              <w:snapToGrid w:val="false"/>
              <w:spacing w:before="0" w:after="0"/>
              <w:ind w:hanging="360" w:left="360" w:right="-108"/>
              <w:jc w:val="center"/>
              <w:rPr>
                <w:rFonts w:ascii="Arial" w:hAnsi="Arial" w:cs="Arial"/>
                <w:b/>
              </w:rPr>
            </w:pPr>
            <w:r>
              <w:rPr>
                <w:rFonts w:eastAsia="Arial" w:cs="Arial" w:ascii="Arial" w:hAnsi="Arial"/>
                <w:b/>
                <w:color w:val="auto"/>
                <w:spacing w:val="0"/>
                <w:w w:val="100"/>
                <w:sz w:val="20"/>
                <w:szCs w:val="20"/>
                <w:lang w:val="ro-RO"/>
              </w:rPr>
            </w:r>
          </w:p>
        </w:tc>
        <w:tc>
          <w:tcPr>
            <w:tcW w:w="3459"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before="0" w:after="0"/>
              <w:rPr>
                <w:rFonts w:ascii="Arial" w:hAnsi="Arial" w:cs="Arial"/>
              </w:rPr>
            </w:pPr>
            <w:r>
              <w:rPr>
                <w:rFonts w:eastAsia="Arial" w:cs="Arial" w:ascii="Arial" w:hAnsi="Arial"/>
                <w:color w:val="auto"/>
                <w:spacing w:val="0"/>
                <w:w w:val="100"/>
                <w:sz w:val="20"/>
                <w:szCs w:val="20"/>
                <w:lang w:val="ro-RO"/>
              </w:rPr>
            </w:r>
          </w:p>
        </w:tc>
        <w:tc>
          <w:tcPr>
            <w:tcW w:w="2075"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before="0" w:after="0"/>
              <w:jc w:val="center"/>
              <w:rPr>
                <w:rFonts w:ascii="Arial" w:hAnsi="Arial" w:cs="Arial"/>
              </w:rPr>
            </w:pPr>
            <w:r>
              <w:rPr>
                <w:rFonts w:eastAsia="Arial" w:cs="Arial" w:ascii="Arial" w:hAnsi="Arial"/>
                <w:color w:val="auto"/>
                <w:spacing w:val="0"/>
                <w:w w:val="100"/>
                <w:sz w:val="20"/>
                <w:szCs w:val="20"/>
                <w:lang w:val="ro-RO"/>
              </w:rPr>
            </w:r>
          </w:p>
        </w:tc>
        <w:tc>
          <w:tcPr>
            <w:tcW w:w="1298"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before="0" w:after="0"/>
              <w:jc w:val="center"/>
              <w:rPr>
                <w:rFonts w:ascii="Arial" w:hAnsi="Arial" w:cs="Arial"/>
              </w:rPr>
            </w:pPr>
            <w:r>
              <w:rPr>
                <w:rFonts w:eastAsia="Arial" w:cs="Arial" w:ascii="Arial" w:hAnsi="Arial"/>
                <w:color w:val="auto"/>
                <w:spacing w:val="0"/>
                <w:w w:val="100"/>
                <w:sz w:val="20"/>
                <w:szCs w:val="20"/>
                <w:lang w:val="ro-RO"/>
              </w:rPr>
            </w:r>
          </w:p>
        </w:tc>
        <w:tc>
          <w:tcPr>
            <w:tcW w:w="1903" w:type="dxa"/>
            <w:tcBorders>
              <w:top w:val="single" w:sz="4" w:space="0" w:color="000000"/>
              <w:left w:val="single" w:sz="4" w:space="0" w:color="000000"/>
              <w:bottom w:val="single" w:sz="4" w:space="0" w:color="000000"/>
              <w:right w:val="single" w:sz="4" w:space="0" w:color="000000"/>
            </w:tcBorders>
          </w:tcPr>
          <w:p>
            <w:pPr>
              <w:pStyle w:val="Normal"/>
              <w:widowControl/>
              <w:snapToGrid w:val="false"/>
              <w:spacing w:before="0" w:after="0"/>
              <w:rPr>
                <w:rFonts w:ascii="Arial" w:hAnsi="Arial" w:cs="Arial"/>
              </w:rPr>
            </w:pPr>
            <w:r>
              <w:rPr>
                <w:rFonts w:eastAsia="Arial" w:cs="Arial" w:ascii="Arial" w:hAnsi="Arial"/>
                <w:color w:val="auto"/>
                <w:spacing w:val="0"/>
                <w:w w:val="100"/>
                <w:sz w:val="20"/>
                <w:szCs w:val="20"/>
                <w:lang w:val="ro-RO"/>
              </w:rPr>
            </w:r>
          </w:p>
        </w:tc>
      </w:tr>
      <w:tr>
        <w:trPr>
          <w:trHeight w:val="290" w:hRule="atLeast"/>
        </w:trPr>
        <w:tc>
          <w:tcPr>
            <w:tcW w:w="620" w:type="dxa"/>
            <w:tcBorders>
              <w:top w:val="single" w:sz="4" w:space="0" w:color="000000"/>
              <w:left w:val="single" w:sz="4" w:space="0" w:color="000000"/>
              <w:bottom w:val="single" w:sz="4" w:space="0" w:color="000000"/>
              <w:right w:val="single" w:sz="4" w:space="0" w:color="000000"/>
            </w:tcBorders>
            <w:vAlign w:val="center"/>
          </w:tcPr>
          <w:p>
            <w:pPr>
              <w:pStyle w:val="Normal"/>
              <w:widowControl/>
              <w:numPr>
                <w:ilvl w:val="0"/>
                <w:numId w:val="2"/>
              </w:numPr>
              <w:snapToGrid w:val="false"/>
              <w:spacing w:before="0" w:after="0"/>
              <w:ind w:hanging="360" w:left="360" w:right="-108"/>
              <w:jc w:val="center"/>
              <w:rPr>
                <w:rFonts w:ascii="Arial" w:hAnsi="Arial" w:cs="Arial"/>
                <w:b/>
              </w:rPr>
            </w:pPr>
            <w:r>
              <w:rPr>
                <w:rFonts w:eastAsia="Arial" w:cs="Arial" w:ascii="Arial" w:hAnsi="Arial"/>
                <w:b/>
                <w:color w:val="auto"/>
                <w:spacing w:val="0"/>
                <w:w w:val="100"/>
                <w:sz w:val="20"/>
                <w:szCs w:val="20"/>
                <w:lang w:val="ro-RO"/>
              </w:rPr>
            </w:r>
          </w:p>
        </w:tc>
        <w:tc>
          <w:tcPr>
            <w:tcW w:w="3459"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before="0" w:after="0"/>
              <w:rPr>
                <w:rFonts w:ascii="Arial" w:hAnsi="Arial" w:cs="Arial"/>
              </w:rPr>
            </w:pPr>
            <w:r>
              <w:rPr>
                <w:rFonts w:eastAsia="Arial" w:cs="Arial" w:ascii="Arial" w:hAnsi="Arial"/>
                <w:color w:val="auto"/>
                <w:spacing w:val="0"/>
                <w:w w:val="100"/>
                <w:sz w:val="20"/>
                <w:szCs w:val="20"/>
                <w:lang w:val="ro-RO"/>
              </w:rPr>
            </w:r>
          </w:p>
        </w:tc>
        <w:tc>
          <w:tcPr>
            <w:tcW w:w="2075"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before="0" w:after="0"/>
              <w:jc w:val="center"/>
              <w:rPr>
                <w:rFonts w:ascii="Arial" w:hAnsi="Arial" w:cs="Arial"/>
              </w:rPr>
            </w:pPr>
            <w:r>
              <w:rPr>
                <w:rFonts w:eastAsia="Arial" w:cs="Arial" w:ascii="Arial" w:hAnsi="Arial"/>
                <w:color w:val="auto"/>
                <w:spacing w:val="0"/>
                <w:w w:val="100"/>
                <w:sz w:val="20"/>
                <w:szCs w:val="20"/>
                <w:lang w:val="ro-RO"/>
              </w:rPr>
            </w:r>
          </w:p>
        </w:tc>
        <w:tc>
          <w:tcPr>
            <w:tcW w:w="1298" w:type="dxa"/>
            <w:tcBorders>
              <w:top w:val="single" w:sz="4" w:space="0" w:color="000000"/>
              <w:left w:val="single" w:sz="4" w:space="0" w:color="000000"/>
              <w:bottom w:val="single" w:sz="4" w:space="0" w:color="000000"/>
              <w:right w:val="single" w:sz="4" w:space="0" w:color="000000"/>
            </w:tcBorders>
            <w:vAlign w:val="center"/>
          </w:tcPr>
          <w:p>
            <w:pPr>
              <w:pStyle w:val="Normal"/>
              <w:widowControl/>
              <w:snapToGrid w:val="false"/>
              <w:spacing w:before="0" w:after="0"/>
              <w:jc w:val="center"/>
              <w:rPr>
                <w:rFonts w:ascii="Arial" w:hAnsi="Arial" w:cs="Arial"/>
              </w:rPr>
            </w:pPr>
            <w:r>
              <w:rPr>
                <w:rFonts w:eastAsia="Arial" w:cs="Arial" w:ascii="Arial" w:hAnsi="Arial"/>
                <w:color w:val="auto"/>
                <w:spacing w:val="0"/>
                <w:w w:val="100"/>
                <w:sz w:val="20"/>
                <w:szCs w:val="20"/>
                <w:lang w:val="ro-RO"/>
              </w:rPr>
            </w:r>
          </w:p>
        </w:tc>
        <w:tc>
          <w:tcPr>
            <w:tcW w:w="1903" w:type="dxa"/>
            <w:tcBorders>
              <w:top w:val="single" w:sz="4" w:space="0" w:color="000000"/>
              <w:left w:val="single" w:sz="4" w:space="0" w:color="000000"/>
              <w:bottom w:val="single" w:sz="4" w:space="0" w:color="000000"/>
              <w:right w:val="single" w:sz="4" w:space="0" w:color="000000"/>
            </w:tcBorders>
          </w:tcPr>
          <w:p>
            <w:pPr>
              <w:pStyle w:val="Normal"/>
              <w:widowControl/>
              <w:snapToGrid w:val="false"/>
              <w:spacing w:before="0" w:after="0"/>
              <w:rPr>
                <w:rFonts w:ascii="Arial" w:hAnsi="Arial" w:cs="Arial"/>
              </w:rPr>
            </w:pPr>
            <w:r>
              <w:rPr>
                <w:rFonts w:eastAsia="Arial" w:cs="Arial" w:ascii="Arial" w:hAnsi="Arial"/>
                <w:color w:val="auto"/>
                <w:spacing w:val="0"/>
                <w:w w:val="100"/>
                <w:sz w:val="20"/>
                <w:szCs w:val="20"/>
                <w:lang w:val="ro-RO"/>
              </w:rPr>
            </w:r>
          </w:p>
        </w:tc>
      </w:tr>
    </w:tbl>
    <w:p>
      <w:pPr>
        <w:pStyle w:val="Normal"/>
        <w:keepNext w:val="true"/>
        <w:widowControl/>
        <w:numPr>
          <w:ilvl w:val="0"/>
          <w:numId w:val="0"/>
        </w:numPr>
        <w:spacing w:before="240" w:after="120"/>
        <w:ind w:hanging="0" w:left="0"/>
        <w:jc w:val="center"/>
        <w:rPr>
          <w:rFonts w:ascii="Arial" w:hAnsi="Arial" w:eastAsia="Arial" w:cs="Arial"/>
          <w:b/>
          <w:i w:val="false"/>
          <w:color w:val="auto"/>
          <w:spacing w:val="0"/>
          <w:w w:val="100"/>
          <w:sz w:val="20"/>
          <w:szCs w:val="20"/>
          <w:lang w:val="ro-RO"/>
        </w:rPr>
      </w:pPr>
      <w:r>
        <w:br w:type="page"/>
      </w:r>
      <w:r>
        <w:rPr>
          <w:rFonts w:eastAsia="Arial" w:cs="Arial" w:ascii="Arial" w:hAnsi="Arial"/>
          <w:b/>
          <w:i w:val="false"/>
          <w:color w:val="auto"/>
          <w:spacing w:val="0"/>
          <w:w w:val="100"/>
          <w:sz w:val="20"/>
          <w:szCs w:val="20"/>
          <w:lang w:val="ro-RO"/>
        </w:rPr>
        <w:t>ANEXA</w:t>
      </w:r>
    </w:p>
    <w:p>
      <w:pPr>
        <w:pStyle w:val="Normal"/>
        <w:keepNext w:val="false"/>
        <w:pageBreakBefore w:val="false"/>
        <w:widowControl/>
        <w:numPr>
          <w:ilvl w:val="0"/>
          <w:numId w:val="0"/>
        </w:numPr>
        <w:spacing w:before="0" w:after="240"/>
        <w:ind w:hanging="0" w:lef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la Decizia nr. {{fire.decisionNumbers.technician}} din {{issueDate}}</w:t>
      </w:r>
    </w:p>
    <w:p>
      <w:pPr>
        <w:pStyle w:val="Normal"/>
        <w:keepNext w:val="true"/>
        <w:pageBreakBefore w:val="false"/>
        <w:widowControl/>
        <w:numPr>
          <w:ilvl w:val="0"/>
          <w:numId w:val="0"/>
        </w:numPr>
        <w:spacing w:before="240" w:after="120"/>
        <w:ind w:hanging="0" w:left="0"/>
        <w:jc w:val="center"/>
        <w:rPr>
          <w:rFonts w:ascii="Arial" w:hAnsi="Arial" w:eastAsia="Arial" w:cs="Arial"/>
          <w:b/>
          <w:i w:val="false"/>
          <w:color w:val="auto"/>
          <w:spacing w:val="0"/>
          <w:w w:val="100"/>
          <w:sz w:val="20"/>
          <w:szCs w:val="20"/>
          <w:lang w:val="ro-RO"/>
        </w:rPr>
      </w:pPr>
      <w:r>
        <w:rPr>
          <w:rFonts w:eastAsia="Arial" w:cs="Arial" w:ascii="Arial" w:hAnsi="Arial"/>
          <w:b/>
          <w:i w:val="false"/>
          <w:color w:val="auto"/>
          <w:spacing w:val="0"/>
          <w:w w:val="100"/>
          <w:sz w:val="20"/>
          <w:szCs w:val="20"/>
          <w:lang w:val="ro-RO"/>
        </w:rPr>
        <w:t>OBLIGAȚIILE PRINCIPALE ALE CADRULUI TEHNIC CU ATRIBUȚII ÎN DOMENIUL APĂRĂRII ÎMPOTRIVA INCENDIILOR</w:t>
      </w:r>
    </w:p>
    <w:p>
      <w:pPr>
        <w:pStyle w:val="Normal"/>
        <w:keepNext/>
        <w:pageBreakBefore w:val="false"/>
        <w:widowControl/>
        <w:numPr>
          <w:ilvl w:val="0"/>
          <w:numId w:val="0"/>
        </w:numPr>
        <w:spacing w:before="0" w:after="60"/>
        <w:ind w:hanging="0" w:left="0"/>
        <w:jc w:val="left"/>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(Preluare din Legea 307/2006 – Art. 27 alin. (1)) Cadrele tehnice și persoanele fizice sau juridice autorizate să îndeplinească atribuții de cadru tehnic, din cadrul Consiliului General al Municipiului București, consiliilor locale ale sectoarelor municipiului București, consiliilor județene și locale, instituțiilor și operatorilor economici, au următoarele obligații principale:</w:t>
      </w:r>
    </w:p>
    <w:p>
      <w:pPr>
        <w:pStyle w:val="Normal"/>
        <w:keepNext w:val="false"/>
        <w:pageBreakBefore w:val="false"/>
        <w:widowControl/>
        <w:numPr>
          <w:ilvl w:val="0"/>
          <w:numId w:val="0"/>
        </w:numPr>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a)</w:t>
      </w:r>
      <w:r>
        <w:rPr>
          <w:rFonts w:eastAsia="Arial" w:cs="Arial" w:ascii="Arial" w:hAnsi="Arial"/>
          <w:b w:val="false"/>
          <w:i w:val="false"/>
          <w:color w:val="auto"/>
          <w:spacing w:val="0"/>
          <w:w w:val="100"/>
          <w:sz w:val="20"/>
          <w:szCs w:val="20"/>
          <w:lang w:val="ro-RO"/>
        </w:rPr>
        <w:tab/>
        <w:t>urmăresc respectarea măsurilor de apărare împotriva incendiilor pe timpul executării lucrărilor de investiții, exploatării construcțiilor și instalațiilor;</w:t>
      </w:r>
    </w:p>
    <w:p>
      <w:pPr>
        <w:pStyle w:val="Normal"/>
        <w:keepNext w:val="false"/>
        <w:pageBreakBefore w:val="false"/>
        <w:widowControl/>
        <w:numPr>
          <w:ilvl w:val="0"/>
          <w:numId w:val="0"/>
        </w:numPr>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b)</w:t>
      </w:r>
      <w:r>
        <w:rPr>
          <w:rFonts w:eastAsia="Arial" w:cs="Arial" w:ascii="Arial" w:hAnsi="Arial"/>
          <w:b w:val="false"/>
          <w:i w:val="false"/>
          <w:color w:val="auto"/>
          <w:spacing w:val="0"/>
          <w:w w:val="100"/>
          <w:sz w:val="20"/>
          <w:szCs w:val="20"/>
          <w:lang w:val="ro-RO"/>
        </w:rPr>
        <w:tab/>
        <w:t>urmăresc respectarea măsurilor de apărare împotriva incendiilor care au stat la baza emiterii autorizației de securitate la incendiu;</w:t>
      </w:r>
    </w:p>
    <w:p>
      <w:pPr>
        <w:pStyle w:val="Normal"/>
        <w:keepNext w:val="false"/>
        <w:pageBreakBefore w:val="false"/>
        <w:widowControl/>
        <w:numPr>
          <w:ilvl w:val="0"/>
          <w:numId w:val="0"/>
        </w:numPr>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c)</w:t>
      </w:r>
      <w:r>
        <w:rPr>
          <w:rFonts w:eastAsia="Arial" w:cs="Arial" w:ascii="Arial" w:hAnsi="Arial"/>
          <w:b w:val="false"/>
          <w:i w:val="false"/>
          <w:color w:val="auto"/>
          <w:spacing w:val="0"/>
          <w:w w:val="100"/>
          <w:sz w:val="20"/>
          <w:szCs w:val="20"/>
          <w:lang w:val="ro-RO"/>
        </w:rPr>
        <w:tab/>
        <w:t>urmăresc funcționarea instalațiilor pentru iluminat de siguranță și a instalațiilor, sistemelor și echipamentelor cu rol în asigurarea cerinței securitate la incendiu, potrivit reglementărilor tehnice specifice;</w:t>
      </w:r>
    </w:p>
    <w:p>
      <w:pPr>
        <w:pStyle w:val="Normal"/>
        <w:keepNext w:val="false"/>
        <w:pageBreakBefore w:val="false"/>
        <w:widowControl/>
        <w:numPr>
          <w:ilvl w:val="0"/>
          <w:numId w:val="0"/>
        </w:numPr>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d)</w:t>
      </w:r>
      <w:r>
        <w:rPr>
          <w:rFonts w:eastAsia="Arial" w:cs="Arial" w:ascii="Arial" w:hAnsi="Arial"/>
          <w:b w:val="false"/>
          <w:i w:val="false"/>
          <w:color w:val="auto"/>
          <w:spacing w:val="0"/>
          <w:w w:val="100"/>
          <w:sz w:val="20"/>
          <w:szCs w:val="20"/>
          <w:lang w:val="ro-RO"/>
        </w:rPr>
        <w:tab/>
        <w:t>urmăresc dotarea spațiilor și construcțiilor cu stingătoare de incendiu și funcționarea acestora;</w:t>
      </w:r>
    </w:p>
    <w:p>
      <w:pPr>
        <w:pStyle w:val="Normal"/>
        <w:keepNext w:val="false"/>
        <w:pageBreakBefore w:val="false"/>
        <w:widowControl/>
        <w:numPr>
          <w:ilvl w:val="0"/>
          <w:numId w:val="0"/>
        </w:numPr>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e)</w:t>
      </w:r>
      <w:r>
        <w:rPr>
          <w:rFonts w:eastAsia="Arial" w:cs="Arial" w:ascii="Arial" w:hAnsi="Arial"/>
          <w:b w:val="false"/>
          <w:i w:val="false"/>
          <w:color w:val="auto"/>
          <w:spacing w:val="0"/>
          <w:w w:val="100"/>
          <w:sz w:val="20"/>
          <w:szCs w:val="20"/>
          <w:lang w:val="ro-RO"/>
        </w:rPr>
        <w:tab/>
        <w:t>întocmesc graficele de verificare a instalațiilor cu risc de incendiu sau explozie și a instalațiilor, sistemelor și echipamentelor cu rol în asigurarea cerinței securitate la incendiu și urmăresc respectarea acestora;</w:t>
      </w:r>
    </w:p>
    <w:p>
      <w:pPr>
        <w:pStyle w:val="Normal"/>
        <w:keepNext w:val="false"/>
        <w:pageBreakBefore w:val="false"/>
        <w:widowControl/>
        <w:numPr>
          <w:ilvl w:val="0"/>
          <w:numId w:val="0"/>
        </w:numPr>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f)</w:t>
      </w:r>
      <w:r>
        <w:rPr>
          <w:rFonts w:eastAsia="Arial" w:cs="Arial" w:ascii="Arial" w:hAnsi="Arial"/>
          <w:b w:val="false"/>
          <w:i w:val="false"/>
          <w:color w:val="auto"/>
          <w:spacing w:val="0"/>
          <w:w w:val="100"/>
          <w:sz w:val="20"/>
          <w:szCs w:val="20"/>
          <w:lang w:val="ro-RO"/>
        </w:rPr>
        <w:tab/>
        <w:t>organizează și desfășoară exerciții de evacuare și intervenție, planificate și inopinate;</w:t>
      </w:r>
    </w:p>
    <w:p>
      <w:pPr>
        <w:pStyle w:val="Normal"/>
        <w:keepNext w:val="false"/>
        <w:pageBreakBefore w:val="false"/>
        <w:widowControl/>
        <w:numPr>
          <w:ilvl w:val="0"/>
          <w:numId w:val="0"/>
        </w:numPr>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g)</w:t>
      </w:r>
      <w:r>
        <w:rPr>
          <w:rFonts w:eastAsia="Arial" w:cs="Arial" w:ascii="Arial" w:hAnsi="Arial"/>
          <w:b w:val="false"/>
          <w:i w:val="false"/>
          <w:color w:val="auto"/>
          <w:spacing w:val="0"/>
          <w:w w:val="100"/>
          <w:sz w:val="20"/>
          <w:szCs w:val="20"/>
          <w:lang w:val="ro-RO"/>
        </w:rPr>
        <w:tab/>
        <w:t>participă la controalele executate de inspectorate;</w:t>
      </w:r>
    </w:p>
    <w:p>
      <w:pPr>
        <w:pStyle w:val="Normal"/>
        <w:keepNext w:val="false"/>
        <w:pageBreakBefore w:val="false"/>
        <w:widowControl/>
        <w:numPr>
          <w:ilvl w:val="0"/>
          <w:numId w:val="0"/>
        </w:numPr>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h)</w:t>
      </w:r>
      <w:r>
        <w:rPr>
          <w:rFonts w:eastAsia="Arial" w:cs="Arial" w:ascii="Arial" w:hAnsi="Arial"/>
          <w:b w:val="false"/>
          <w:i w:val="false"/>
          <w:color w:val="auto"/>
          <w:spacing w:val="0"/>
          <w:w w:val="100"/>
          <w:sz w:val="20"/>
          <w:szCs w:val="20"/>
          <w:lang w:val="ro-RO"/>
        </w:rPr>
        <w:tab/>
        <w:t>stabilesc conținutul documentelor de instruire în domeniul situațiilor de urgență;</w:t>
      </w:r>
    </w:p>
    <w:p>
      <w:pPr>
        <w:pStyle w:val="Normal"/>
        <w:keepNext w:val="false"/>
        <w:pageBreakBefore w:val="false"/>
        <w:widowControl/>
        <w:numPr>
          <w:ilvl w:val="0"/>
          <w:numId w:val="0"/>
        </w:numPr>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i)</w:t>
      </w:r>
      <w:r>
        <w:rPr>
          <w:rFonts w:eastAsia="Arial" w:cs="Arial" w:ascii="Arial" w:hAnsi="Arial"/>
          <w:b w:val="false"/>
          <w:i w:val="false"/>
          <w:color w:val="auto"/>
          <w:spacing w:val="0"/>
          <w:w w:val="100"/>
          <w:sz w:val="20"/>
          <w:szCs w:val="20"/>
          <w:lang w:val="ro-RO"/>
        </w:rPr>
        <w:tab/>
        <w:t>desfășoară categoriile de instructaje în domeniul situațiilor de urgență stabilite de administrator sau conducătorul instituției;</w:t>
      </w:r>
    </w:p>
    <w:p>
      <w:pPr>
        <w:pStyle w:val="Normal"/>
        <w:keepNext w:val="false"/>
        <w:pageBreakBefore w:val="false"/>
        <w:widowControl/>
        <w:numPr>
          <w:ilvl w:val="0"/>
          <w:numId w:val="0"/>
        </w:numPr>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j)</w:t>
      </w:r>
      <w:r>
        <w:rPr>
          <w:rFonts w:eastAsia="Arial" w:cs="Arial" w:ascii="Arial" w:hAnsi="Arial"/>
          <w:b w:val="false"/>
          <w:i w:val="false"/>
          <w:color w:val="auto"/>
          <w:spacing w:val="0"/>
          <w:w w:val="100"/>
          <w:sz w:val="20"/>
          <w:szCs w:val="20"/>
          <w:lang w:val="ro-RO"/>
        </w:rPr>
        <w:tab/>
        <w:t>prezintă administratorului sau conducătorului instituției, semestrial sau ori de câte ori situația impune, raportul de evaluare a capacității de apărare împotriva incendiilor;</w:t>
      </w:r>
    </w:p>
    <w:p>
      <w:pPr>
        <w:pStyle w:val="Normal"/>
        <w:keepNext w:val="false"/>
        <w:pageBreakBefore w:val="false"/>
        <w:widowControl/>
        <w:numPr>
          <w:ilvl w:val="0"/>
          <w:numId w:val="0"/>
        </w:numPr>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k)</w:t>
      </w:r>
      <w:r>
        <w:rPr>
          <w:rFonts w:eastAsia="Arial" w:cs="Arial" w:ascii="Arial" w:hAnsi="Arial"/>
          <w:b w:val="false"/>
          <w:i w:val="false"/>
          <w:color w:val="auto"/>
          <w:spacing w:val="0"/>
          <w:w w:val="100"/>
          <w:sz w:val="20"/>
          <w:szCs w:val="20"/>
          <w:lang w:val="ro-RO"/>
        </w:rPr>
        <w:tab/>
        <w:t>propun măsuri alternative pentru a asigura alarmarea și evacuarea în condiții de siguranță a utilizatorilor în situațiile de nefuncționare a instalațiilor, sistemelor și echipamentelor cu rol în asigurarea cerinței securitate la incendiu;</w:t>
      </w:r>
    </w:p>
    <w:p>
      <w:pPr>
        <w:pStyle w:val="Normal"/>
        <w:keepNext w:val="false"/>
        <w:pageBreakBefore w:val="false"/>
        <w:widowControl/>
        <w:numPr>
          <w:ilvl w:val="0"/>
          <w:numId w:val="0"/>
        </w:numPr>
        <w:spacing w:before="0" w:after="4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l)</w:t>
      </w:r>
      <w:r>
        <w:rPr>
          <w:rFonts w:eastAsia="Arial" w:cs="Arial" w:ascii="Arial" w:hAnsi="Arial"/>
          <w:b w:val="false"/>
          <w:i w:val="false"/>
          <w:color w:val="auto"/>
          <w:spacing w:val="0"/>
          <w:w w:val="100"/>
          <w:sz w:val="20"/>
          <w:szCs w:val="20"/>
          <w:lang w:val="ro-RO"/>
        </w:rPr>
        <w:tab/>
        <w:t>propun includerea în bugetele proprii a fondurilor necesare îndeplinirii și respectării măsurilor de apărare împotriva incendiilor;</w:t>
      </w:r>
    </w:p>
    <w:p>
      <w:pPr>
        <w:pStyle w:val="Normal"/>
        <w:keepNext w:val="false"/>
        <w:pageBreakBefore w:val="false"/>
        <w:widowControl/>
        <w:numPr>
          <w:ilvl w:val="0"/>
          <w:numId w:val="0"/>
        </w:numPr>
        <w:spacing w:before="0" w:after="120"/>
        <w:ind w:hanging="360" w:left="720"/>
        <w:jc w:val="left"/>
        <w:rPr>
          <w:rFonts w:ascii="Arial" w:hAnsi="Arial" w:eastAsia="Arial" w:cs="Arial"/>
          <w:b w:val="false"/>
          <w:i w:val="false"/>
          <w:color w:val="auto"/>
          <w:spacing w:val="0"/>
          <w:w w:val="100"/>
          <w:sz w:val="20"/>
          <w:szCs w:val="20"/>
          <w:lang w:val="ro-RO"/>
        </w:rPr>
      </w:pPr>
      <w:r>
        <w:rPr>
          <w:rFonts w:eastAsia="Arial" w:cs="Arial" w:ascii="Arial" w:hAnsi="Arial"/>
          <w:b/>
          <w:i w:val="false"/>
          <w:color w:val="auto"/>
          <w:spacing w:val="0"/>
          <w:w w:val="100"/>
          <w:sz w:val="20"/>
          <w:szCs w:val="20"/>
          <w:lang w:val="ro-RO"/>
        </w:rPr>
        <w:t>m)</w:t>
      </w:r>
      <w:r>
        <w:rPr>
          <w:rFonts w:eastAsia="Arial" w:cs="Arial" w:ascii="Arial" w:hAnsi="Arial"/>
          <w:b w:val="false"/>
          <w:i w:val="false"/>
          <w:color w:val="auto"/>
          <w:spacing w:val="0"/>
          <w:w w:val="100"/>
          <w:sz w:val="20"/>
          <w:szCs w:val="20"/>
          <w:lang w:val="ro-RO"/>
        </w:rPr>
        <w:tab/>
        <w:t>elaborează planuri de măsuri pentru eficientizarea activității de apărare împotriva incendiilor pe baza concluziilor rezultate în urma controalelor proprii și a celor desfășurate de inspectorate.</w:t>
      </w:r>
    </w:p>
    <w:p>
      <w:pPr>
        <w:pStyle w:val="Normal"/>
        <w:keepNext w:val="true"/>
        <w:pageBreakBefore w:val="false"/>
        <w:widowControl/>
        <w:numPr>
          <w:ilvl w:val="0"/>
          <w:numId w:val="0"/>
        </w:numPr>
        <w:spacing w:before="480" w:after="0"/>
        <w:ind w:hanging="0" w:left="0" w:right="0"/>
        <w:jc w:val="center"/>
        <w:rPr>
          <w:rFonts w:ascii="Arial" w:hAnsi="Arial" w:eastAsia="Arial" w:cs="Arial"/>
          <w:b/>
          <w:i w:val="false"/>
          <w:color w:val="auto"/>
          <w:spacing w:val="0"/>
          <w:w w:val="100"/>
          <w:sz w:val="20"/>
          <w:szCs w:val="20"/>
          <w:lang w:val="ro-RO"/>
        </w:rPr>
      </w:pPr>
      <w:r>
        <w:rPr>
          <w:rFonts w:eastAsia="Arial" w:cs="Arial" w:ascii="Arial" w:hAnsi="Arial"/>
          <w:b/>
          <w:i w:val="false"/>
          <w:color w:val="auto"/>
          <w:spacing w:val="0"/>
          <w:w w:val="100"/>
          <w:sz w:val="20"/>
          <w:szCs w:val="20"/>
          <w:lang w:val="ro-RO"/>
        </w:rPr>
        <w:t>{{client.legalName}}</w:t>
      </w:r>
    </w:p>
    <w:p>
      <w:pPr>
        <w:pStyle w:val="Normal"/>
        <w:keepNext w:val="true"/>
        <w:pageBreakBefore w:val="false"/>
        <w:widowControl/>
        <w:numPr>
          <w:ilvl w:val="0"/>
          <w:numId w:val="0"/>
        </w:numPr>
        <w:spacing w:before="0" w:after="240"/>
        <w:ind w:hanging="0" w:left="0" w:right="0"/>
        <w:jc w:val="center"/>
        <w:rPr>
          <w:rFonts w:ascii="Arial" w:hAnsi="Arial" w:eastAsia="Arial" w:cs="Arial"/>
          <w:b w:val="false"/>
          <w:i w:val="false"/>
          <w:color w:val="auto"/>
          <w:spacing w:val="0"/>
          <w:w w:val="100"/>
          <w:sz w:val="20"/>
          <w:szCs w:val="20"/>
          <w:lang w:val="ro-RO"/>
        </w:rPr>
      </w:pPr>
      <w:r>
        <w:rPr>
          <w:rFonts w:eastAsia="Arial" w:cs="Arial" w:ascii="Arial" w:hAnsi="Arial"/>
          <w:b w:val="false"/>
          <w:i w:val="false"/>
          <w:color w:val="auto"/>
          <w:spacing w:val="0"/>
          <w:w w:val="100"/>
          <w:sz w:val="20"/>
          <w:szCs w:val="20"/>
          <w:lang w:val="ro-RO"/>
        </w:rPr>
        <w:t>{{client.representativeRole}}</w:t>
      </w:r>
    </w:p>
    <w:p>
      <w:pPr>
        <w:pStyle w:val="Normal"/>
        <w:keepNext w:val="false"/>
        <w:pageBreakBefore w:val="false"/>
        <w:widowControl/>
        <w:numPr>
          <w:ilvl w:val="0"/>
          <w:numId w:val="0"/>
        </w:numPr>
        <w:spacing w:before="0" w:after="120"/>
        <w:ind w:hanging="0" w:left="0" w:right="0"/>
        <w:jc w:val="center"/>
        <w:rPr>
          <w:rFonts w:ascii="Arial" w:hAnsi="Arial" w:eastAsia="Arial" w:cs="Arial"/>
          <w:b/>
          <w:i w:val="false"/>
          <w:color w:val="auto"/>
          <w:spacing w:val="0"/>
          <w:w w:val="100"/>
          <w:sz w:val="20"/>
          <w:szCs w:val="20"/>
          <w:lang w:val="ro-RO"/>
        </w:rPr>
      </w:pPr>
      <w:r>
        <w:rPr>
          <w:rFonts w:eastAsia="Arial" w:cs="Arial" w:ascii="Arial" w:hAnsi="Arial"/>
          <w:b/>
          <w:i w:val="false"/>
          <w:color w:val="auto"/>
          <w:spacing w:val="0"/>
          <w:w w:val="100"/>
          <w:sz w:val="20"/>
          <w:szCs w:val="20"/>
          <w:lang w:val="ro-RO"/>
        </w:rPr>
        <w:t>{{client.representativeName}}</w:t>
      </w:r>
    </w:p>
    <w:sectPr>
      <w:footerReference w:type="default" r:id="rId2"/>
      <w:type w:val="nextPage"/>
      <w:pgSz w:w="11906" w:h="16838"/>
      <w:pgMar w:left="1417" w:right="1134" w:gutter="0" w:header="0" w:top="1134" w:footer="680" w:bottom="115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Wingdings">
    <w:charset w:val="02"/>
    <w:family w:val="roman"/>
    <w:pitch w:val="variable"/>
  </w:font>
  <w:font w:name="Arial">
    <w:charset w:val="01"/>
    <w:family w:val="roman"/>
    <w:pitch w:val="variable"/>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Helvetica-Condensed-R">
    <w:altName w:val="Arial Narrow"/>
    <w:charset w:val="01"/>
    <w:family w:val="roman"/>
    <w:pitch w:val="variable"/>
  </w:font>
  <w:font w:name="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60" w:after="0"/>
      <w:ind w:hanging="0" w:left="0" w:right="0"/>
      <w:jc w:val="center"/>
      <w:rPr>
        <w:rFonts w:ascii="Arial" w:hAnsi="Arial" w:eastAsia="Arial" w:cs="Arial"/>
        <w:b w:val="false"/>
        <w:color w:val="7A7A7A"/>
        <w:spacing w:val="0"/>
        <w:w w:val="100"/>
        <w:sz w:val="15"/>
        <w:szCs w:val="15"/>
        <w:lang w:val="ro-RO"/>
      </w:rPr>
    </w:pPr>
    <w:r>
      <w:rPr>
        <w:rFonts w:eastAsia="Arial" w:cs="Arial" w:ascii="Arial" w:hAnsi="Arial"/>
        <w:b w:val="false"/>
        <w:color w:val="7A7A7A"/>
        <w:spacing w:val="0"/>
        <w:w w:val="100"/>
        <w:sz w:val="15"/>
        <w:szCs w:val="15"/>
        <w:lang w:val="ro-RO"/>
      </w:rPr>
      <w:t>{{#branding}}Document generat cu SSM Ușor · ssmusor.ro{{/branding}}</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decimal"/>
      <w:suff w:val="space"/>
      <w:lvlText w:val="Art. %1."/>
      <w:lvlJc w:val="left"/>
      <w:pPr>
        <w:tabs>
          <w:tab w:val="num" w:pos="0"/>
        </w:tabs>
        <w:ind w:left="0" w:hanging="0"/>
      </w:pPr>
      <w:rPr>
        <w:rFonts w:ascii="Arial" w:hAnsi="Arial"/>
        <w:b/>
        <w:sz w:val="2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en-US" w:eastAsia="zh-CN" w:bidi="hi-IN"/>
      </w:rPr>
    </w:rPrDefault>
    <w:pPrDefault>
      <w:pPr>
        <w:suppressAutoHyphens w:val="true"/>
      </w:pPr>
    </w:pPrDefault>
  </w:docDefaults>
  <w:style w:type="paragraph" w:styleId="Normal">
    <w:name w:val="Normal"/>
    <w:pPr>
      <w:widowControl/>
      <w:suppressAutoHyphens w:val="true"/>
      <w:bidi w:val="0"/>
      <w:spacing w:before="0" w:after="0"/>
      <w:jc w:val="left"/>
    </w:pPr>
    <w:rPr>
      <w:rFonts w:ascii="Times New Roman" w:hAnsi="Times New Roman" w:eastAsia="Times New Roman" w:cs="Times New Roman"/>
      <w:color w:val="auto"/>
      <w:kern w:val="0"/>
      <w:sz w:val="20"/>
      <w:szCs w:val="20"/>
      <w:lang w:val="en-US" w:eastAsia="zh-CN" w:bidi="ar-SA"/>
    </w:rPr>
  </w:style>
  <w:style w:type="paragraph" w:styleId="Heading1">
    <w:name w:val="heading 1"/>
    <w:basedOn w:val="Normal"/>
    <w:next w:val="Normal"/>
    <w:pPr>
      <w:keepNext w:val="true"/>
      <w:numPr>
        <w:ilvl w:val="0"/>
        <w:numId w:val="1"/>
      </w:numPr>
      <w:outlineLvl w:val="0"/>
    </w:pPr>
    <w:rPr>
      <w:b/>
      <w:sz w:val="24"/>
      <w:u w:val="single"/>
    </w:rPr>
  </w:style>
  <w:style w:type="paragraph" w:styleId="Heading2">
    <w:name w:val="heading 2"/>
    <w:basedOn w:val="Normal"/>
    <w:next w:val="Normal"/>
    <w:pPr>
      <w:keepNext w:val="true"/>
      <w:numPr>
        <w:ilvl w:val="1"/>
        <w:numId w:val="1"/>
      </w:numPr>
      <w:spacing w:lineRule="auto" w:line="360"/>
      <w:ind w:firstLine="1440" w:left="0" w:right="0"/>
      <w:jc w:val="right"/>
      <w:outlineLvl w:val="1"/>
    </w:pPr>
    <w:rPr>
      <w:sz w:val="28"/>
    </w:rPr>
  </w:style>
  <w:style w:type="paragraph" w:styleId="Heading3">
    <w:name w:val="heading 3"/>
    <w:basedOn w:val="Normal"/>
    <w:next w:val="Normal"/>
    <w:pPr>
      <w:keepNext w:val="true"/>
      <w:numPr>
        <w:ilvl w:val="2"/>
        <w:numId w:val="1"/>
      </w:numPr>
      <w:spacing w:lineRule="auto" w:line="360"/>
      <w:jc w:val="center"/>
      <w:outlineLvl w:val="2"/>
    </w:pPr>
    <w:rPr>
      <w:sz w:val="28"/>
    </w:rPr>
  </w:style>
  <w:style w:type="paragraph" w:styleId="Heading4">
    <w:name w:val="heading 4"/>
    <w:basedOn w:val="Normal"/>
    <w:next w:val="Normal"/>
    <w:pPr>
      <w:keepNext w:val="true"/>
      <w:numPr>
        <w:ilvl w:val="3"/>
        <w:numId w:val="1"/>
      </w:numPr>
      <w:jc w:val="right"/>
      <w:outlineLvl w:val="3"/>
    </w:pPr>
    <w:rPr>
      <w:sz w:val="28"/>
      <w:szCs w:val="28"/>
    </w:rPr>
  </w:style>
  <w:style w:type="paragraph" w:styleId="Heading7">
    <w:name w:val="heading 7"/>
    <w:basedOn w:val="Normal"/>
    <w:next w:val="Normal"/>
    <w:pPr>
      <w:numPr>
        <w:ilvl w:val="6"/>
        <w:numId w:val="1"/>
      </w:numPr>
      <w:spacing w:before="240" w:after="60"/>
      <w:outlineLvl w:val="6"/>
    </w:pPr>
    <w:rPr>
      <w:sz w:val="24"/>
      <w:szCs w:val="24"/>
    </w:rPr>
  </w:style>
  <w:style w:type="character" w:styleId="WW8Num2z0">
    <w:name w:val="WW8Num2z0"/>
    <w:rPr>
      <w:rFonts w:ascii="Symbol" w:hAnsi="Symbol" w:cs="Symbol"/>
    </w:rPr>
  </w:style>
  <w:style w:type="character" w:styleId="WW8Num2z1">
    <w:name w:val="WW8Num2z1"/>
    <w:rPr>
      <w:rFonts w:ascii="Courier New" w:hAnsi="Courier New" w:cs="Courier New"/>
    </w:rPr>
  </w:style>
  <w:style w:type="character" w:styleId="WW8Num2z2">
    <w:name w:val="WW8Num2z2"/>
    <w:rPr>
      <w:rFonts w:ascii="Wingdings" w:hAnsi="Wingdings" w:cs="Wingdings"/>
    </w:rPr>
  </w:style>
  <w:style w:type="character" w:styleId="WW8Num2z3">
    <w:name w:val="WW8Num2z3"/>
    <w:rPr>
      <w:rFonts w:ascii="Symbol" w:hAnsi="Symbol" w:cs="Symbol"/>
    </w:rPr>
  </w:style>
  <w:style w:type="character" w:styleId="WW8Num3z0">
    <w:name w:val="WW8Num3z0"/>
    <w:rPr>
      <w:b/>
    </w:rPr>
  </w:style>
  <w:style w:type="character" w:styleId="WW8Num4z0">
    <w:name w:val="WW8Num4z0"/>
    <w:rPr>
      <w:b/>
    </w:rPr>
  </w:style>
  <w:style w:type="character" w:styleId="WW8Num5z0">
    <w:name w:val="WW8Num5z0"/>
    <w:rPr/>
  </w:style>
  <w:style w:type="character" w:styleId="WW8Num7z0">
    <w:name w:val="WW8Num7z0"/>
    <w:rPr>
      <w:b/>
    </w:rPr>
  </w:style>
  <w:style w:type="character" w:styleId="WW8Num8z0">
    <w:name w:val="WW8Num8z0"/>
    <w:rPr>
      <w:b/>
    </w:rPr>
  </w:style>
  <w:style w:type="character" w:styleId="WW8Num8z1">
    <w:name w:val="WW8Num8z1"/>
    <w:rPr>
      <w:rFonts w:ascii="Courier New" w:hAnsi="Courier New" w:cs="Courier New"/>
    </w:rPr>
  </w:style>
  <w:style w:type="character" w:styleId="WW8Num8z2">
    <w:name w:val="WW8Num8z2"/>
    <w:rPr>
      <w:rFonts w:ascii="Wingdings" w:hAnsi="Wingdings" w:cs="Wingdings"/>
    </w:rPr>
  </w:style>
  <w:style w:type="character" w:styleId="WW8Num8z3">
    <w:name w:val="WW8Num8z3"/>
    <w:rPr>
      <w:rFonts w:ascii="Symbol" w:hAnsi="Symbol" w:cs="Symbol"/>
    </w:rPr>
  </w:style>
  <w:style w:type="character" w:styleId="WW8Num9z0">
    <w:name w:val="WW8Num9z0"/>
    <w:rPr>
      <w:b/>
    </w:rPr>
  </w:style>
  <w:style w:type="character" w:styleId="WW8Num10z0">
    <w:name w:val="WW8Num10z0"/>
    <w:rPr>
      <w:b/>
    </w:rPr>
  </w:style>
  <w:style w:type="character" w:styleId="WW8Num11z0">
    <w:name w:val="WW8Num11z0"/>
    <w:rPr>
      <w:b/>
    </w:rPr>
  </w:style>
  <w:style w:type="character" w:styleId="WW8Num13z0">
    <w:name w:val="WW8Num13z0"/>
    <w:rPr>
      <w:b/>
      <w:bCs/>
    </w:rPr>
  </w:style>
  <w:style w:type="character" w:styleId="WW8Num14z0">
    <w:name w:val="WW8Num14z0"/>
    <w:rPr>
      <w:b/>
    </w:rPr>
  </w:style>
  <w:style w:type="character" w:styleId="WW8Num15z0">
    <w:name w:val="WW8Num15z0"/>
    <w:rPr>
      <w:b/>
    </w:rPr>
  </w:style>
  <w:style w:type="character" w:styleId="WW8Num17z0">
    <w:name w:val="WW8Num17z0"/>
    <w:rPr>
      <w:rFonts w:ascii="Symbol" w:hAnsi="Symbol" w:cs="Symbol"/>
    </w:rPr>
  </w:style>
  <w:style w:type="character" w:styleId="WW8Num17z1">
    <w:name w:val="WW8Num17z1"/>
    <w:rPr>
      <w:rFonts w:ascii="Courier New" w:hAnsi="Courier New" w:cs="Courier New"/>
    </w:rPr>
  </w:style>
  <w:style w:type="character" w:styleId="WW8Num17z2">
    <w:name w:val="WW8Num17z2"/>
    <w:rPr>
      <w:rFonts w:ascii="Wingdings" w:hAnsi="Wingdings" w:cs="Wingdings"/>
    </w:rPr>
  </w:style>
  <w:style w:type="character" w:styleId="WW8Num17z3">
    <w:name w:val="WW8Num17z3"/>
    <w:rPr>
      <w:rFonts w:ascii="Symbol" w:hAnsi="Symbol" w:cs="Symbol"/>
    </w:rPr>
  </w:style>
  <w:style w:type="character" w:styleId="WW8Num18z0">
    <w:name w:val="WW8Num18z0"/>
    <w:rPr>
      <w:rFonts w:ascii="Symbol" w:hAnsi="Symbol" w:cs="Symbol"/>
    </w:rPr>
  </w:style>
  <w:style w:type="character" w:styleId="WW8Num18z1">
    <w:name w:val="WW8Num18z1"/>
    <w:rPr>
      <w:rFonts w:ascii="Courier New" w:hAnsi="Courier New" w:cs="Courier New"/>
    </w:rPr>
  </w:style>
  <w:style w:type="character" w:styleId="WW8Num18z2">
    <w:name w:val="WW8Num18z2"/>
    <w:rPr>
      <w:rFonts w:ascii="Wingdings" w:hAnsi="Wingdings" w:cs="Wingdings"/>
    </w:rPr>
  </w:style>
  <w:style w:type="character" w:styleId="WW8Num18z3">
    <w:name w:val="WW8Num18z3"/>
    <w:rPr>
      <w:rFonts w:ascii="Symbol" w:hAnsi="Symbol" w:cs="Symbol"/>
    </w:rPr>
  </w:style>
  <w:style w:type="character" w:styleId="WW8Num19z0">
    <w:name w:val="WW8Num19z0"/>
    <w:rPr/>
  </w:style>
  <w:style w:type="character" w:styleId="WW8Num20z0">
    <w:name w:val="WW8Num20z0"/>
    <w:rPr>
      <w:b/>
    </w:rPr>
  </w:style>
  <w:style w:type="character" w:styleId="WW8Num21z0">
    <w:name w:val="WW8Num21z0"/>
    <w:rPr>
      <w:rFonts w:ascii="Wingdings" w:hAnsi="Wingdings" w:cs="Wingdings"/>
      <w:sz w:val="16"/>
    </w:rPr>
  </w:style>
  <w:style w:type="character" w:styleId="WW8Num21z1">
    <w:name w:val="WW8Num21z1"/>
    <w:rPr>
      <w:rFonts w:ascii="Courier New" w:hAnsi="Courier New" w:cs="Courier New"/>
    </w:rPr>
  </w:style>
  <w:style w:type="character" w:styleId="WW8Num21z2">
    <w:name w:val="WW8Num21z2"/>
    <w:rPr>
      <w:rFonts w:ascii="Wingdings" w:hAnsi="Wingdings" w:cs="Wingdings"/>
    </w:rPr>
  </w:style>
  <w:style w:type="character" w:styleId="WW8Num21z3">
    <w:name w:val="WW8Num21z3"/>
    <w:rPr>
      <w:rFonts w:ascii="Symbol" w:hAnsi="Symbol" w:cs="Symbol"/>
    </w:rPr>
  </w:style>
  <w:style w:type="character" w:styleId="WW8NumSt2z0">
    <w:name w:val="WW8NumSt2z0"/>
    <w:rPr>
      <w:rFonts w:ascii="Times New Roman" w:hAnsi="Times New Roman" w:cs="Times New Roman"/>
    </w:rPr>
  </w:style>
  <w:style w:type="character" w:styleId="WW8NumSt3z0">
    <w:name w:val="WW8NumSt3z0"/>
    <w:rPr>
      <w:rFonts w:ascii="Times New Roman" w:hAnsi="Times New Roman" w:cs="Times New Roman"/>
    </w:rPr>
  </w:style>
  <w:style w:type="character" w:styleId="DefaultParagraphFont">
    <w:name w:val="Default Paragraph Font"/>
    <w:rPr/>
  </w:style>
  <w:style w:type="character" w:styleId="PageNumber">
    <w:name w:val="page number"/>
    <w:basedOn w:val="DefaultParagraphFont"/>
    <w:rPr/>
  </w:style>
  <w:style w:type="character" w:styleId="tpa1">
    <w:name w:val="tpa1"/>
    <w:basedOn w:val="DefaultParagraphFont"/>
    <w:rPr/>
  </w:style>
  <w:style w:type="character" w:styleId="do1">
    <w:name w:val="do1"/>
    <w:rPr>
      <w:b/>
      <w:bCs/>
      <w:sz w:val="26"/>
      <w:szCs w:val="26"/>
    </w:rPr>
  </w:style>
  <w:style w:type="character" w:styleId="tal1">
    <w:name w:val="tal1"/>
    <w:basedOn w:val="DefaultParagraphFont"/>
    <w:rPr/>
  </w:style>
  <w:style w:type="character" w:styleId="ArticleLabel">
    <w:name w:val="ArticleLabel"/>
    <w:rPr>
      <w:rFonts w:ascii="Arial" w:hAnsi="Arial"/>
      <w:b/>
      <w:sz w:val="20"/>
    </w:rPr>
  </w:style>
  <w:style w:type="character" w:styleId="FootnoteCharacters">
    <w:name w:val="Footnote Characters"/>
    <w:rPr/>
  </w:style>
  <w:style w:type="character" w:styleId="CaptionCharacters">
    <w:name w:val="Caption Characters"/>
    <w:rPr/>
  </w:style>
  <w:style w:type="character" w:styleId="DropCaps">
    <w:name w:val="Drop Caps"/>
    <w:rPr/>
  </w:style>
  <w:style w:type="character" w:styleId="NumberingSymbols">
    <w:name w:val="Numbering Symbols"/>
    <w:rPr/>
  </w:style>
  <w:style w:type="character" w:styleId="Bullets">
    <w:name w:val="Bullets"/>
    <w:rPr>
      <w:rFonts w:ascii="OpenSymbol" w:hAnsi="OpenSymbol" w:eastAsia="OpenSymbol" w:cs="OpenSymbol"/>
    </w:rPr>
  </w:style>
  <w:style w:type="character" w:styleId="Hyperlink">
    <w:name w:val="Hyperlink"/>
    <w:rPr>
      <w:u w:val="single"/>
    </w:rPr>
  </w:style>
  <w:style w:type="character" w:styleId="FollowedHyperlink">
    <w:name w:val="FollowedHyperlink"/>
    <w:rPr>
      <w:u w:val="single"/>
    </w:rPr>
  </w:style>
  <w:style w:type="character" w:styleId="Placeholder">
    <w:name w:val="Placeholder"/>
    <w:rPr>
      <w:smallCaps/>
      <w:u w:val="dotted"/>
    </w:rPr>
  </w:style>
  <w:style w:type="character" w:styleId="IndexLink">
    <w:name w:val="Index Link"/>
    <w:rPr/>
  </w:style>
  <w:style w:type="character" w:styleId="EndnoteCharacters">
    <w:name w:val="Endnote Characters"/>
    <w:rPr/>
  </w:style>
  <w:style w:type="character" w:styleId="LineNumber">
    <w:name w:val="line number"/>
    <w:rPr/>
  </w:style>
  <w:style w:type="character" w:styleId="MainIndexEntry">
    <w:name w:val="Main Index Entry"/>
    <w:rPr>
      <w:b/>
      <w:bCs/>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Rubies">
    <w:name w:val="Rubies"/>
    <w:rPr>
      <w:sz w:val="12"/>
      <w:szCs w:val="12"/>
      <w:u w:val="none"/>
      <w:em w:val="none"/>
    </w:rPr>
  </w:style>
  <w:style w:type="character" w:styleId="VerticalNumberingSymbols">
    <w:name w:val="Vertical Numbering Symbols"/>
    <w:rPr>
      <w:eastAsianLayout w:vert="true"/>
    </w:rPr>
  </w:style>
  <w:style w:type="character" w:styleId="Emphasis">
    <w:name w:val="Emphasis"/>
    <w:rPr>
      <w:i/>
      <w:iCs/>
    </w:rPr>
  </w:style>
  <w:style w:type="character" w:styleId="Quotation">
    <w:name w:val="Quotation"/>
    <w:rPr>
      <w:i/>
      <w:iCs/>
    </w:rPr>
  </w:style>
  <w:style w:type="character" w:styleId="Strong">
    <w:name w:val="Strong"/>
    <w:rPr>
      <w:b/>
      <w:bCs/>
    </w:rPr>
  </w:style>
  <w:style w:type="character" w:styleId="SourceText">
    <w:name w:val="Source Text"/>
    <w:rPr>
      <w:rFonts w:ascii="Liberation Mono" w:hAnsi="Liberation Mono" w:eastAsia="Arial" w:cs="Liberation Mono"/>
    </w:rPr>
  </w:style>
  <w:style w:type="character" w:styleId="Example">
    <w:name w:val="Example"/>
    <w:rPr>
      <w:rFonts w:ascii="Liberation Mono" w:hAnsi="Liberation Mono" w:eastAsia="Arial" w:cs="Liberation Mono"/>
    </w:rPr>
  </w:style>
  <w:style w:type="character" w:styleId="UserEntry">
    <w:name w:val="User Entry"/>
    <w:rPr>
      <w:rFonts w:ascii="Liberation Mono" w:hAnsi="Liberation Mono" w:eastAsia="Arial" w:cs="Liberation Mono"/>
    </w:rPr>
  </w:style>
  <w:style w:type="character" w:styleId="Variable">
    <w:name w:val="Variable"/>
    <w:rPr>
      <w:i/>
      <w:iCs/>
    </w:rPr>
  </w:style>
  <w:style w:type="character" w:styleId="Definition">
    <w:name w:val="Definition"/>
    <w:rPr/>
  </w:style>
  <w:style w:type="character" w:styleId="Teletype">
    <w:name w:val="Teletype"/>
    <w:rPr>
      <w:rFonts w:ascii="Liberation Mono" w:hAnsi="Liberation Mono" w:eastAsia="Arial" w:cs="Liberation Mono"/>
    </w:rPr>
  </w:style>
  <w:style w:type="paragraph" w:styleId="Heading">
    <w:name w:val="Heading"/>
    <w:basedOn w:val="Normal"/>
    <w:next w:val="BodyText"/>
    <w:pPr>
      <w:keepNext w:val="true"/>
      <w:spacing w:before="240" w:after="120"/>
    </w:pPr>
    <w:rPr>
      <w:rFonts w:ascii="Arial" w:hAnsi="Arial" w:eastAsia="Arial"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pPr>
      <w:suppressLineNumbers/>
      <w:spacing w:before="120" w:after="120"/>
    </w:pPr>
    <w:rPr>
      <w:rFonts w:cs="Arial"/>
      <w:i/>
      <w:iCs/>
      <w:sz w:val="24"/>
      <w:szCs w:val="24"/>
    </w:rPr>
  </w:style>
  <w:style w:type="paragraph" w:styleId="Index">
    <w:name w:val="Index"/>
    <w:basedOn w:val="Normal"/>
    <w:pPr>
      <w:suppressLineNumbers/>
    </w:pPr>
    <w:rPr>
      <w:rFonts w:cs="Arial"/>
    </w:rPr>
  </w:style>
  <w:style w:type="paragraph" w:styleId="BodyText2">
    <w:name w:val="Body Text 2"/>
    <w:basedOn w:val="Normal"/>
    <w:pPr>
      <w:jc w:val="both"/>
    </w:pPr>
    <w:rPr>
      <w:rFonts w:ascii="Helvetica-Condensed-R;Arial Narrow" w:hAnsi="Helvetica-Condensed-R;Arial Narrow" w:cs="Helvetica-Condensed-R;Arial Narrow"/>
      <w:sz w:val="24"/>
    </w:rPr>
  </w:style>
  <w:style w:type="paragraph" w:styleId="HeaderandFooter">
    <w:name w:val="Header and Footer"/>
    <w:basedOn w:val="Normal"/>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153" w:leader="none"/>
        <w:tab w:val="right" w:pos="8306" w:leader="none"/>
      </w:tabs>
    </w:pPr>
    <w:rPr/>
  </w:style>
  <w:style w:type="paragraph" w:styleId="Footer">
    <w:name w:val="footer"/>
    <w:basedOn w:val="Normal"/>
    <w:pPr>
      <w:tabs>
        <w:tab w:val="clear" w:pos="720"/>
        <w:tab w:val="center" w:pos="4153" w:leader="none"/>
        <w:tab w:val="right" w:pos="8306" w:leader="none"/>
      </w:tabs>
    </w:pPr>
    <w:rPr/>
  </w:style>
  <w:style w:type="paragraph" w:styleId="HTMLPreformatted">
    <w:name w:val="HTML Preformatted"/>
    <w:basedOn w:val="Normal"/>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rPr>
  </w:style>
  <w:style w:type="paragraph" w:styleId="ListParagraph">
    <w:name w:val="List Paragraph"/>
    <w:basedOn w:val="Normal"/>
    <w:pPr>
      <w:ind w:hanging="0" w:left="720" w:right="0"/>
    </w:pPr>
    <w:rPr/>
  </w:style>
  <w:style w:type="paragraph" w:styleId="TableContents">
    <w:name w:val="Table Contents"/>
    <w:basedOn w:val="Normal"/>
    <w:pPr>
      <w:widowControl w:val="false"/>
      <w:suppressLineNumbers/>
    </w:pPr>
    <w:rPr/>
  </w:style>
  <w:style w:type="paragraph" w:styleId="TableHeading">
    <w:name w:val="Table Heading"/>
    <w:basedOn w:val="TableContents"/>
    <w:pPr>
      <w:suppressLineNumbers/>
      <w:jc w:val="center"/>
    </w:pPr>
    <w:rPr>
      <w:b/>
      <w:bCs/>
    </w:rPr>
  </w:style>
  <w:style w:type="numbering" w:styleId="WW8Num1">
    <w:name w:val="WW8Num1"/>
  </w:style>
  <w:style w:type="numbering" w:styleId="WW8Num2">
    <w:name w:val="WW8Num2"/>
  </w:style>
  <w:style w:type="numbering" w:styleId="WW8Num3">
    <w:name w:val="WW8Num3"/>
  </w:style>
  <w:style w:type="numbering" w:styleId="WW8Num4">
    <w:name w:val="WW8Num4"/>
  </w:style>
  <w:style w:type="numbering" w:styleId="WW8Num5">
    <w:name w:val="WW8Num5"/>
  </w:style>
  <w:style w:type="numbering" w:styleId="WW8Num6">
    <w:name w:val="WW8Num6"/>
  </w:style>
  <w:style w:type="numbering" w:styleId="WW8Num7">
    <w:name w:val="WW8Num7"/>
  </w:style>
  <w:style w:type="numbering" w:styleId="WW8Num8">
    <w:name w:val="WW8Num8"/>
  </w:style>
  <w:style w:type="numbering" w:styleId="WW8Num9">
    <w:name w:val="WW8Num9"/>
  </w:style>
  <w:style w:type="numbering" w:styleId="WW8Num10">
    <w:name w:val="WW8Num10"/>
  </w:style>
  <w:style w:type="numbering" w:styleId="WW8Num11">
    <w:name w:val="WW8Num11"/>
  </w:style>
  <w:style w:type="numbering" w:styleId="WW8Num12">
    <w:name w:val="WW8Num12"/>
  </w:style>
  <w:style w:type="numbering" w:styleId="WW8Num13">
    <w:name w:val="WW8Num13"/>
  </w:style>
  <w:style w:type="numbering" w:styleId="WW8Num14">
    <w:name w:val="WW8Num14"/>
  </w:style>
  <w:style w:type="numbering" w:styleId="WW8Num15">
    <w:name w:val="WW8Num15"/>
  </w:style>
  <w:style w:type="numbering" w:styleId="WW8Num16">
    <w:name w:val="WW8Num16"/>
  </w:style>
  <w:style w:type="numbering" w:styleId="WW8Num17">
    <w:name w:val="WW8Num17"/>
  </w:style>
  <w:style w:type="numbering" w:styleId="WW8Num18">
    <w:name w:val="WW8Num18"/>
  </w:style>
  <w:style w:type="numbering" w:styleId="WW8Num19">
    <w:name w:val="WW8Num19"/>
  </w:style>
  <w:style w:type="numbering" w:styleId="WW8Num20">
    <w:name w:val="WW8Num20"/>
  </w:style>
  <w:style w:type="numbering" w:styleId="WW8Num21">
    <w:name w:val="WW8Num21"/>
  </w:style>
  <w:style w:type="numbering" w:styleId="Articles">
    <w:name w:val="Articles"/>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TotalTime>
  <Application>LibreOffice/26.8.0.3$Linux_AARCH64 LibreOffice_project/680$Build-3</Application>
  <AppVersion>15.0000</AppVersion>
  <Pages>2</Pages>
  <Words>674</Words>
  <Characters>5000</Characters>
  <CharactersWithSpaces>5620</CharactersWithSpaces>
  <Paragraphs>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2024-03-04T10:18:00Z</dcterms:created>
  <dc:creator/>
  <dc:description/>
  <dc:language>ro-RO</dc:language>
  <cp:lastModifiedBy/>
  <cp:lastPrinted>2024-03-04T15:22:00Z</cp:lastPrinted>
  <dcterms:modified xsi:type="dcterms:W3CDTF">2026-10-10T16:53:23Z</dcterms:modified>
  <cp:revision>7</cp:revision>
  <dc:subject/>
  <dc:title/>
</cp:coreProperties>
</file>