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LISTA CU SITUAȚIA MIJLOACELOR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1. Lista dotării cu mijloace de primă intervenție pentru stingerea incendiilor a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{{name}}, {{activity}}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205"/>
        <w:gridCol w:w="2040"/>
        <w:gridCol w:w="2042"/>
      </w:tblGrid>
      <w:tr>
        <w:trPr/>
        <w:tc>
          <w:tcPr>
            <w:tcW w:w="10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Aria utilă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{{floorAreaM2}} m²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Norma de dotare (OMAI 163/2007, anexa 6)</w:t>
            </w:r>
          </w:p>
        </w:tc>
        <w:tc>
          <w:tcPr>
            <w:tcW w:w="408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{{normLabel}}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Mijloc de primă intervenție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U/M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Cantitate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{{#extinguishers}}Stingător {{code}} – {{agentLabel}}, {{capacityLabel}}{{#wheeled}}, carosabil{{/wheeled}}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{{count}}{{/extinguishers}}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{{#otherEquipment}}{{kindLabel}}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{{count}}{{/otherEquipment}}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Total stingătoare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{{extinguisherCount}}</w:t>
            </w:r>
          </w:p>
        </w:tc>
      </w:tr>
    </w:tbl>
    <w:p>
      <w:pPr>
        <w:pStyle w:val="Normal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NUMĂR ORIENTATIV DE STINGĂTOARE PORTATIVE PENTRU UNELE CATEGORII DE CONSTRUCȚII (OMAI 163/2007, anexa 6)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565"/>
        <w:gridCol w:w="2722"/>
      </w:tblGrid>
      <w:tr>
        <w:trPr>
          <w:tblHeader w:val="true"/>
        </w:trPr>
        <w:tc>
          <w:tcPr>
            <w:tcW w:w="1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Categorii de construcții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Număr minim de stingătoare*)/suprafață desfășurată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Clădiri administrative: sedii ale administrației publice centrale și locale; sedii de fundații, organizații neguvernamentale, asociații, agenții și altele asemenea; sedii de birouri.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Clădiri comerciale: comerț alimentar și nealimentar; magazine generale; alimentație publică (restaurante, braserii și altele asemenea); spații și încăperi destinate serviciilor.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buc./200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Clădiri de locuit (cu caracter de recomandare): blocuri; locuințe unifamiliale.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buc./nivel/apartament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Clădiri civile cu funcțiuni mixte (comerț, birouri, reuniuni).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Alte amenajări: circuri mobile; scene și tribune amenajate provizoriu în aer liber (pentru spectacole, mitinguri, competiții sportive etc.); studiouri de radio, televiziune, îndeosebi cu public.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buc./150 m²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*) Performanța de stingere echivalentă cu focarele 21 A și 113 B, conform standardului european de referință.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{{#fire.hasExteriorHydrants}}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2. Lista dotării cu accesorii pentru trecerea apei a hidranților exteriori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5"/>
        <w:gridCol w:w="3732"/>
        <w:gridCol w:w="747"/>
        <w:gridCol w:w="1066"/>
        <w:gridCol w:w="1066"/>
        <w:gridCol w:w="1067"/>
        <w:gridCol w:w="1066"/>
        <w:gridCol w:w="1066"/>
        <w:gridCol w:w="1065"/>
        <w:gridCol w:w="1068"/>
        <w:gridCol w:w="1599"/>
      </w:tblGrid>
      <w:tr>
        <w:trPr/>
        <w:tc>
          <w:tcPr>
            <w:tcW w:w="7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37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Denumirea accesoriului</w:t>
            </w:r>
          </w:p>
        </w:tc>
        <w:tc>
          <w:tcPr>
            <w:tcW w:w="7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U/M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Norma pentru un hidrant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Număr de hidranți</w:t>
            </w:r>
          </w:p>
        </w:tc>
        <w:tc>
          <w:tcPr>
            <w:tcW w:w="10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dotări hidranți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Rezerva conform normelor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de aprovizionat</w:t>
            </w:r>
          </w:p>
        </w:tc>
        <w:tc>
          <w:tcPr>
            <w:tcW w:w="2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 păstrează la:</w:t>
            </w:r>
          </w:p>
        </w:tc>
        <w:tc>
          <w:tcPr>
            <w:tcW w:w="15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/>
        <w:tc>
          <w:tcPr>
            <w:tcW w:w="7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7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4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Hidranți</w:t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Remiza PSI</w:t>
            </w:r>
          </w:p>
        </w:tc>
        <w:tc>
          <w:tcPr>
            <w:tcW w:w="15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racord tip „A, B, C”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Feșe pentru furtun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Țevi de refulare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Hidrant portativ tip „A” sau „B” cu 2 robinete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pentru hidrant și mufe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Racorduri pentru furtun tip „B” cu garnituri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Furtun de refulare cauciucat tip „B”, în role de 20 m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40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12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{{/fire.hasExteriorHydrants}}</w:t>
      </w:r>
    </w:p>
    <w:p>
      <w:pPr>
        <w:pStyle w:val="Normal"/>
        <w:widowControl/>
        <w:bidi w:val="0"/>
        <w:spacing w:before="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Cadru tehnic PSI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7285"/>
        <w:tab w:val="clear" w:pos="14570"/>
        <w:tab w:val="center" w:pos="7143" w:leader="none"/>
        <w:tab w:val="right" w:pos="14287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730</Words>
  <Characters>5818</Characters>
  <CharactersWithSpaces>6303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2026-10-10T16:55:42Z</dcterms:modified>
  <cp:revision>1</cp:revision>
  <dc:subject/>
  <dc:title/>
</cp:coreProperties>
</file>