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Microsoft_Excel_Worksheet2.xlsx" ContentType="application/vnd.openxmlformats-officedocument.spreadsheetml.sheet"/>
  <Override PartName="/word/embeddings/oleObject2.bin" ContentType="application/vnd.openxmlformats-officedocument.oleObject"/>
  <Override PartName="/word/embeddings/oleObject1.bin" ContentType="application/vnd.openxmlformats-officedocument.oleObject"/>
  <Override PartName="/word/embeddings/Microsoft_Excel_Worksheet.xlsx" ContentType="application/vnd.openxmlformats-officedocument.spreadsheetml.sheet"/>
  <Override PartName="/word/embeddings/Microsoft_Excel_Worksheet3.xlsx" ContentType="application/vnd.openxmlformats-officedocument.spreadsheetml.sheet"/>
  <Override PartName="/word/embeddings/oleObject3.bin" ContentType="application/vnd.openxmlformats-officedocument.oleObject"/>
  <Override PartName="/word/embeddings/Microsoft_Excel_Worksheet4.xlsx" ContentType="application/vnd.openxmlformats-officedocument.spreadsheetml.sheet"/>
  <Override PartName="/word/embeddings/Microsoft_Excel_Worksheet9.xlsx" ContentType="application/vnd.openxmlformats-officedocument.spreadsheetml.sheet"/>
  <Override PartName="/word/embeddings/Microsoft_Excel_Worksheet5.xlsx" ContentType="application/vnd.openxmlformats-officedocument.spreadsheetml.sheet"/>
  <Override PartName="/word/embeddings/Microsoft_Excel_Worksheet6.xlsx" ContentType="application/vnd.openxmlformats-officedocument.spreadsheetml.sheet"/>
  <Override PartName="/word/embeddings/Microsoft_Excel_Worksheet8.xlsx" ContentType="application/vnd.openxmlformats-officedocument.spreadsheetml.sheet"/>
  <Override PartName="/word/embeddings/Microsoft_Excel_Worksheet1.xlsx" ContentType="application/vnd.openxmlformats-officedocument.spreadsheetml.sheet"/>
  <Override PartName="/word/embeddings/Microsoft_Excel_Worksheet7.xlsx" ContentType="application/vnd.openxmlformats-officedocument.spreadsheetml.sheet"/>
  <Override PartName="/word/fontTable.xml" ContentType="application/vnd.openxmlformats-officedocument.wordprocessingml.fontTable+xml"/>
  <Override PartName="/word/theme/theme1.xml" ContentType="application/vnd.openxmlformats-officedocument.theme+xml"/>
  <Override PartName="/word/document.xml" ContentType="application/vnd.openxmlformats-officedocument.wordprocessingml.document.main+xml"/>
  <Override PartName="/word/charts/chart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2.xml" ContentType="application/vnd.openxmlformats-officedocument.drawingml.chart+xml"/>
  <Override PartName="/word/charts/chart5.xml" ContentType="application/vnd.openxmlformats-officedocument.drawingml.chart+xml"/>
  <Override PartName="/word/charts/chart10.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6.xml" ContentType="application/vnd.openxmlformats-officedocument.drawingml.chart+xml"/>
  <Override PartName="/word/charts/chart9.xml" ContentType="application/vnd.openxmlformats-officedocument.drawingml.chart+xml"/>
  <Override PartName="/word/footer9.xml" ContentType="application/vnd.openxmlformats-officedocument.wordprocessingml.footer+xml"/>
  <Override PartName="/word/styles.xml" ContentType="application/vnd.openxmlformats-officedocument.wordprocessingml.styles+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numbering.xml" ContentType="application/vnd.openxmlformats-officedocument.wordprocessingml.numbering+xml"/>
  <Override PartName="/word/header8.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2029"/>
        <w:gridCol w:w="3707"/>
        <w:gridCol w:w="2913"/>
      </w:tblGrid>
      <w:tr>
        <w:trPr>
          <w:tblHeader w:val="true"/>
          <w:trHeight w:val="181" w:hRule="atLeast"/>
        </w:trPr>
        <w:tc>
          <w:tcPr>
            <w:tcW w:w="9355"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Persoane implicate în procesul de predare primire al lucrării de evaluare a riscurilor</w:t>
            </w:r>
          </w:p>
        </w:tc>
      </w:tr>
      <w:tr>
        <w:trPr>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2029"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89" w:right="-63"/>
              <w:jc w:val="center"/>
              <w:rPr>
                <w:rFonts w:ascii="Arial" w:hAnsi="Arial" w:cs="Arial"/>
                <w:b/>
                <w:sz w:val="20"/>
                <w:szCs w:val="20"/>
                <w:lang w:val="it-CH"/>
              </w:rPr>
            </w:pPr>
            <w:r>
              <w:rPr>
                <w:rFonts w:eastAsia="Arial" w:cs="Arial" w:ascii="Arial" w:hAnsi="Arial"/>
                <w:b/>
                <w:color w:val="auto"/>
                <w:spacing w:val="0"/>
                <w:w w:val="100"/>
                <w:sz w:val="20"/>
                <w:szCs w:val="20"/>
                <w:lang w:val="ro-RO"/>
              </w:rPr>
              <w:t>Activitate desfășurată</w:t>
            </w:r>
          </w:p>
        </w:tc>
        <w:tc>
          <w:tcPr>
            <w:tcW w:w="370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91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w:t>
            </w:r>
          </w:p>
        </w:tc>
      </w:tr>
      <w:tr>
        <w:trPr>
          <w:trHeight w:val="926"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Întocmit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{{specialist.name}} – Evaluator autorizat al {{provider.legalName}}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r>
      <w:tr>
        <w:trPr>
          <w:trHeight w:val="98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Aprobat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{{client.representativeName}} –</w:t>
            </w:r>
          </w:p>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t>Administrator al {{client.legalName}}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r>
          </w:p>
        </w:tc>
      </w:tr>
    </w:tbl>
    <w:p>
      <w:pPr>
        <w:pStyle w:val="Normal"/>
        <w:keepNext w:val="true"/>
        <w:widowControl/>
        <w:spacing w:before="0" w:after="0"/>
        <w:ind w:hanging="0"/>
        <w:jc w:val="left"/>
        <w:rPr>
          <w:rFonts w:ascii="Arial" w:hAnsi="Arial" w:cs="Arial"/>
          <w:sz w:val="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8"/>
        <w:gridCol w:w="894"/>
        <w:gridCol w:w="1016"/>
        <w:gridCol w:w="6917"/>
      </w:tblGrid>
      <w:tr>
        <w:trPr>
          <w:tblHeader w:val="true"/>
          <w:trHeight w:val="56" w:hRule="atLeast"/>
        </w:trPr>
        <w:tc>
          <w:tcPr>
            <w:tcW w:w="52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crt.</w:t>
            </w:r>
          </w:p>
        </w:tc>
        <w:tc>
          <w:tcPr>
            <w:tcW w:w="89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pagina</w:t>
            </w:r>
          </w:p>
        </w:tc>
        <w:tc>
          <w:tcPr>
            <w:tcW w:w="101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Capitol / Subcapitol</w:t>
            </w:r>
          </w:p>
        </w:tc>
        <w:tc>
          <w:tcPr>
            <w:tcW w:w="69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Denumire capitol</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left="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 – 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Coperta</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 – 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576" w:left="576"/>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 – 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CH"/>
              </w:rPr>
            </w:pPr>
            <w:r>
              <w:rPr>
                <w:rFonts w:eastAsia="Arial" w:cs="Arial" w:ascii="Arial" w:hAnsi="Arial"/>
                <w:b/>
                <w:color w:val="auto"/>
                <w:spacing w:val="0"/>
                <w:w w:val="100"/>
                <w:sz w:val="20"/>
                <w:szCs w:val="20"/>
                <w:lang w:val="ro-RO"/>
              </w:rPr>
              <w:t>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INTRODUCERE ÎN SISTEMUL DE EVALUARE D.P.D.V. AL SECURITĂȚII ȘI SĂNĂTĂȚII ÎN MUNCĂ</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rPr>
            </w:pPr>
            <w:r>
              <w:rPr>
                <w:rFonts w:eastAsia="Arial" w:cs="Arial" w:ascii="Arial" w:hAnsi="Arial"/>
                <w:color w:val="auto"/>
                <w:spacing w:val="0"/>
                <w:w w:val="100"/>
                <w:sz w:val="20"/>
                <w:szCs w:val="20"/>
                <w:lang w:val="ro-RO"/>
              </w:rPr>
              <w:t>PREZENTAREA METODEI ELABORATE DE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PREMISE TEORETICE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10 – 11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DESCRIEREA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11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APLICAREA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14 – 15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PREZENTAREA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15 – 16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FORMAREA ECHIPELOR (COLECTIVULUI) DE EVALUARE A RISCURILOR DE ACCIDENTARE ȘI/ SAU ÎMBOLNĂVIRE PROFESIONALĂ PENTRU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17 – 19</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1</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6"/>
                <w:szCs w:val="16"/>
              </w:rPr>
            </w:pPr>
            <w:r>
              <w:rPr>
                <w:rFonts w:eastAsia="Arial" w:cs="Arial" w:ascii="Arial" w:hAnsi="Arial"/>
                <w:color w:val="auto"/>
                <w:spacing w:val="0"/>
                <w:w w:val="100"/>
                <w:sz w:val="20"/>
                <w:szCs w:val="20"/>
                <w:lang w:val="ro-RO"/>
              </w:rPr>
              <w:t>LISTA DE IDENTIFICARE A FACTORILOR DE RISC</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20 – 21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2</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LISTA DE CONSECINȚE POSIBILE ALE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22 – 22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3</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COTARE A GRAVITĂȚII ȘI PROBABILITĂȚII CONSECINȚELOR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23 – 23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4</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GRILA DE EVALUARE A RISCURILOR (COMBINAȚIE ÎNTRE GRAVITATEA CONSECINȚELOR ȘI PROBABILITATEA PRODUCERII LOR)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24 – 24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5</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ÎNCADRARE A NIVELURILOR DE RISC/ SECURITATE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25 – 25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6</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ORDINEA IERARHICĂ A MĂSURILOR DE PREVENIRE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26 – 26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BIBLIOGRAFIE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53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METODEI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33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color w:val="auto"/>
                <w:spacing w:val="0"/>
                <w:w w:val="100"/>
                <w:sz w:val="20"/>
                <w:szCs w:val="20"/>
                <w:lang w:val="ro-RO"/>
              </w:rPr>
              <w:t>PERSONAL CU ACTIVITĂȚI DE BIROU ( MANAGER MAGAZIN )</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33 - 40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BARMAN PREPARATOR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41 - 47</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LUCRĂTOR COMERCIAL</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48 - 54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GRUPURI SENSIBILE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55 - 58</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VIZITATORI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59 - 60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CONCLUZII GENERALE</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665827179"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038669022"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2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20861574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40"/>
        <w:jc w:val="left"/>
        <w:rPr>
          <w:rFonts w:ascii="Arial" w:hAnsi="Arial" w:cs="Arial"/>
          <w:b/>
          <w:sz w:val="18"/>
          <w:szCs w:val="18"/>
          <w:lang w:val="it-CH"/>
        </w:rPr>
      </w:pPr>
      <w:r>
        <w:rPr>
          <w:rFonts w:eastAsia="Arial" w:cs="Arial" w:ascii="Arial" w:hAnsi="Arial"/>
          <w:b/>
          <w:color w:val="auto"/>
          <w:spacing w:val="0"/>
          <w:w w:val="100"/>
          <w:sz w:val="20"/>
          <w:szCs w:val="20"/>
          <w:lang w:val="ro-RO"/>
        </w:rPr>
        <w:t>Denumirea unității:</w:t>
      </w:r>
      <w:r>
        <w:rPr>
          <w:rFonts w:eastAsia="Arial" w:cs="Arial" w:ascii="Arial" w:hAnsi="Arial"/>
          <w:caps/>
          <w:color w:val="auto"/>
          <w:spacing w:val="0"/>
          <w:w w:val="100"/>
          <w:sz w:val="20"/>
          <w:szCs w:val="20"/>
          <w:lang w:val="ro-RO"/>
        </w:rPr>
        <w:t xml:space="preserve"> </w:t>
      </w:r>
      <w:r>
        <w:rPr>
          <w:rFonts w:eastAsia="Arial" w:cs="Arial" w:ascii="Arial" w:hAnsi="Arial"/>
          <w:color w:val="auto"/>
          <w:spacing w:val="0"/>
          <w:w w:val="100"/>
          <w:sz w:val="20"/>
          <w:szCs w:val="20"/>
          <w:lang w:val="ro-RO"/>
        </w:rPr>
        <w:t>{{client.legalName}}</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Adresa sediu social:</w:t>
      </w:r>
      <w:r>
        <w:rPr>
          <w:rFonts w:eastAsia="Arial" w:cs="Arial" w:ascii="Arial" w:hAnsi="Arial"/>
          <w:color w:val="auto"/>
          <w:spacing w:val="0"/>
          <w:w w:val="100"/>
          <w:sz w:val="20"/>
          <w:szCs w:val="20"/>
          <w:lang w:val="ro-RO"/>
        </w:rPr>
        <w:t xml:space="preserve"> București, 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Persoana de contact și șef de loc de muncă sediu social: {{workplaceManager.name}} – Manager magazin.</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Telefon persoana de contact sediu social: 0720 533 637;</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Cod de Înregistrare Fiscala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(CUI): </w:t>
      </w:r>
      <w:r>
        <w:rPr>
          <w:rFonts w:eastAsia="Arial" w:cs="Arial" w:ascii="Arial" w:hAnsi="Arial"/>
          <w:color w:val="auto"/>
          <w:spacing w:val="0"/>
          <w:w w:val="100"/>
          <w:sz w:val="20"/>
          <w:szCs w:val="20"/>
          <w:lang w:val="ro-RO"/>
        </w:rPr>
        <w:t>41760933;</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Nr. de Inregistrata la O.R.C.: J</w:t>
      </w:r>
      <w:r>
        <w:rPr>
          <w:rFonts w:eastAsia="Arial" w:cs="Arial" w:ascii="Arial" w:hAnsi="Arial"/>
          <w:color w:val="auto"/>
          <w:spacing w:val="0"/>
          <w:w w:val="100"/>
          <w:sz w:val="20"/>
          <w:szCs w:val="20"/>
          <w:lang w:val="ro-RO"/>
        </w:rPr>
        <w:t>40 / 13726 / 14.10.2019.</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Forma de proprietate:</w:t>
      </w:r>
      <w:r>
        <w:rPr>
          <w:rFonts w:eastAsia="Arial" w:cs="Arial" w:ascii="Arial" w:hAnsi="Arial"/>
          <w:color w:val="auto"/>
          <w:spacing w:val="0"/>
          <w:w w:val="100"/>
          <w:sz w:val="20"/>
          <w:szCs w:val="20"/>
          <w:lang w:val="ro-RO"/>
        </w:rPr>
        <w:t xml:space="preserve"> privată</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Total număr de angajați:</w:t>
      </w:r>
      <w:r>
        <w:rPr>
          <w:rFonts w:eastAsia="Arial" w:cs="Arial" w:ascii="Arial" w:hAnsi="Arial"/>
          <w:color w:val="auto"/>
          <w:spacing w:val="0"/>
          <w:w w:val="100"/>
          <w:sz w:val="20"/>
          <w:szCs w:val="20"/>
          <w:lang w:val="ro-RO"/>
        </w:rPr>
        <w:t xml:space="preserve"> 6</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Număr de angajați sediu social: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Data înființării a unității: 14.10.2019.</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Specificul activității de bază:</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principal: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secundar: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Accidente de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I.T.M. (incapacitate temporară de muncă)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invaliditate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Mortale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Colective la data {{issueDate}}: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Incidente periculoase:</w:t>
      </w:r>
      <w:r>
        <w:rPr>
          <w:rFonts w:eastAsia="Arial" w:cs="Arial" w:ascii="Arial" w:hAnsi="Arial"/>
          <w:color w:val="auto"/>
          <w:spacing w:val="0"/>
          <w:w w:val="100"/>
          <w:sz w:val="20"/>
          <w:szCs w:val="20"/>
          <w:lang w:val="ro-RO"/>
        </w:rPr>
        <w:t xml:space="preserv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Data realizării primei evaluării de riscuri: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Descrierea generală a unității și activitățile care se desfășoară în cadrul unității:</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Activitatea specifică a {{client.legalName}} este conform CAEN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Manipularea se efectuează: manual</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intern se efectuează cu ajutorul: -</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angajaților se efectuează cu ajutorul: autovehiculelor proprii sau mijloacelor de transport în comun</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Modul de dispunere al spațiului pentru birouri este dotat conform cerințelor minime de securitate și sănătate în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Vestiarele sunt amplasate: Nu este cazul:</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Grupurile sanitare sunt amplasate:</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Sistem de supraveghere</w:t>
      </w:r>
      <w:r>
        <w:rPr>
          <w:rFonts w:eastAsia="Arial" w:cs="Arial" w:ascii="Arial" w:hAnsi="Arial"/>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Iluminat de siguranță: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Locul de fumat este amplasat: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Încălzirea încăperilor este realizată prin încălzire:</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Apa curenta caldă și rece este asigurată în mod permanent prin:</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sediului social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punctului de lucru 1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iCs/>
          <w:color w:val="auto"/>
          <w:spacing w:val="0"/>
          <w:w w:val="100"/>
          <w:sz w:val="20"/>
          <w:szCs w:val="20"/>
          <w:lang w:val="ro-RO"/>
        </w:rPr>
        <w:t>Spatiile sunt proprietatea: Privata;</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Sectoarele de activitate și funcțiunile principale pe amplasamente sunt:</w:t>
      </w:r>
    </w:p>
    <w:p>
      <w:pPr>
        <w:pStyle w:val="ListParagraph"/>
        <w:keepNext w:val="true"/>
        <w:widowControl/>
        <w:numPr>
          <w:ilvl w:val="0"/>
          <w:numId w:val="56"/>
        </w:numPr>
        <w:spacing w:before="0" w:after="40"/>
        <w:ind w:hanging="360" w:left="1080"/>
        <w:contextualSpacing/>
        <w:jc w:val="left"/>
        <w:rPr>
          <w:rFonts w:ascii="Arial" w:hAnsi="Arial" w:cs="Arial"/>
          <w:sz w:val="18"/>
          <w:szCs w:val="18"/>
          <w:lang w:val="it-CH"/>
        </w:rPr>
      </w:pPr>
      <w:r>
        <w:rPr>
          <w:rFonts w:eastAsia="Arial" w:cs="Arial" w:ascii="Arial" w:hAnsi="Arial"/>
          <w:bCs/>
          <w:iCs/>
          <w:color w:val="auto"/>
          <w:spacing w:val="0"/>
          <w:w w:val="100"/>
          <w:sz w:val="20"/>
          <w:szCs w:val="20"/>
          <w:lang w:val="ro-RO"/>
        </w:rPr>
        <w:t xml:space="preserve">sediului social: București, </w:t>
      </w:r>
      <w:r>
        <w:rPr>
          <w:rFonts w:eastAsia="Arial" w:cs="Arial" w:ascii="Arial" w:hAnsi="Arial"/>
          <w:color w:val="auto"/>
          <w:spacing w:val="0"/>
          <w:w w:val="100"/>
          <w:sz w:val="20"/>
          <w:szCs w:val="20"/>
          <w:lang w:val="ro-RO"/>
        </w:rPr>
        <w:t>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56"/>
        </w:numPr>
        <w:spacing w:before="0" w:after="40"/>
        <w:ind w:hanging="360" w:left="1080"/>
        <w:jc w:val="left"/>
        <w:rPr>
          <w:rFonts w:ascii="Arial" w:hAnsi="Arial" w:cs="Arial"/>
          <w:sz w:val="18"/>
          <w:szCs w:val="18"/>
        </w:rPr>
      </w:pPr>
      <w:r>
        <w:rPr>
          <w:rFonts w:eastAsia="Arial" w:cs="Arial" w:ascii="Arial" w:hAnsi="Arial"/>
          <w:bCs/>
          <w:iCs/>
          <w:color w:val="auto"/>
          <w:spacing w:val="0"/>
          <w:w w:val="100"/>
          <w:sz w:val="20"/>
          <w:szCs w:val="20"/>
          <w:lang w:val="ro-RO"/>
        </w:rPr>
        <w:t>punct de lucru:</w:t>
      </w:r>
      <w:r>
        <w:rPr>
          <w:rFonts w:eastAsia="Arial" w:cs="Arial" w:ascii="Arial" w:hAnsi="Arial"/>
          <w:color w:val="auto"/>
          <w:spacing w:val="0"/>
          <w:w w:val="100"/>
          <w:sz w:val="20"/>
          <w:szCs w:val="20"/>
          <w:lang w:val="ro-RO"/>
        </w:rPr>
        <w:t xml:space="preserve"> Mun. Timisoara, </w:t>
      </w:r>
      <w:r>
        <w:rPr>
          <w:rFonts w:eastAsia="Arial" w:cs="Arial" w:ascii="Arial" w:hAnsi="Arial"/>
          <w:bCs/>
          <w:color w:val="auto"/>
          <w:spacing w:val="0"/>
          <w:w w:val="100"/>
          <w:sz w:val="20"/>
          <w:szCs w:val="20"/>
          <w:lang w:val="ro-RO"/>
        </w:rPr>
        <w:t xml:space="preserve">str. Wolfgang Iohann Goethe, nr.2, parter, </w:t>
      </w:r>
      <w:r>
        <w:rPr>
          <w:rFonts w:eastAsia="Arial" w:cs="Arial" w:ascii="Arial" w:hAnsi="Arial"/>
          <w:color w:val="auto"/>
          <w:spacing w:val="0"/>
          <w:w w:val="100"/>
          <w:sz w:val="20"/>
          <w:szCs w:val="20"/>
          <w:lang w:val="ro-RO"/>
        </w:rPr>
        <w:t>județ: Timis</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Informații privind executanții activităților:</w:t>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53"/>
        <w:gridCol w:w="3536"/>
        <w:gridCol w:w="5166"/>
      </w:tblGrid>
      <w:tr>
        <w:trPr>
          <w:tblHeader w:val="true"/>
          <w:trHeight w:val="6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FUNCȚII DE ÎNCADRARE ÎN UNITATE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53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funcție contract de muncă</w:t>
            </w:r>
          </w:p>
        </w:tc>
        <w:tc>
          <w:tcPr>
            <w:tcW w:w="51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Activități propriu-zise desfășurate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lang w:val="da-DK"/>
              </w:rPr>
            </w:pPr>
            <w:r>
              <w:rPr>
                <w:rFonts w:eastAsia="Arial" w:cs="Arial" w:ascii="Arial" w:hAnsi="Arial"/>
                <w:color w:val="auto"/>
                <w:spacing w:val="0"/>
                <w:w w:val="100"/>
                <w:sz w:val="20"/>
                <w:szCs w:val="20"/>
                <w:lang w:val="ro-RO"/>
              </w:rPr>
              <w:t>Activități de birou, Conducător loc munca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 și activități de birou</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Lucrător comercial</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Gelaterie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Barman preparator</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120"/>
        <w:jc w:val="left"/>
        <w:rPr>
          <w:rFonts w:ascii="Arial" w:hAnsi="Arial" w:cs="Arial"/>
          <w:b/>
          <w:sz w:val="18"/>
          <w:szCs w:val="18"/>
          <w:lang w:val="da-DK"/>
        </w:rPr>
      </w:pPr>
      <w:r>
        <w:rPr>
          <w:rFonts w:eastAsia="Arial" w:cs="Arial" w:ascii="Arial" w:hAnsi="Arial"/>
          <w:b/>
          <w:color w:val="auto"/>
          <w:spacing w:val="0"/>
          <w:w w:val="100"/>
          <w:sz w:val="20"/>
          <w:szCs w:val="20"/>
          <w:lang w:val="ro-RO"/>
        </w:rPr>
        <w:t>Mijloace de producție: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66"/>
        <w:gridCol w:w="1954"/>
        <w:gridCol w:w="1732"/>
        <w:gridCol w:w="2085"/>
        <w:gridCol w:w="1571"/>
        <w:gridCol w:w="1347"/>
      </w:tblGrid>
      <w:tr>
        <w:trPr>
          <w:tblHeader w:val="true"/>
          <w:trHeight w:val="60" w:hRule="atLeast"/>
        </w:trPr>
        <w:tc>
          <w:tcPr>
            <w:tcW w:w="9355" w:type="dxa"/>
            <w:gridSpan w:val="6"/>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 MIJLOACE AUTO</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195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 De înmatriculare</w:t>
            </w:r>
          </w:p>
        </w:tc>
        <w:tc>
          <w:tcPr>
            <w:tcW w:w="173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Marca și tip vehicul</w:t>
            </w:r>
          </w:p>
        </w:tc>
        <w:tc>
          <w:tcPr>
            <w:tcW w:w="208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Categoria</w:t>
            </w:r>
          </w:p>
        </w:tc>
        <w:tc>
          <w:tcPr>
            <w:tcW w:w="157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Anul fabricației</w:t>
            </w:r>
          </w:p>
        </w:tc>
        <w:tc>
          <w:tcPr>
            <w:tcW w:w="134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Masă max. Autorizată</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19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r>
          </w:p>
        </w:tc>
        <w:tc>
          <w:tcPr>
            <w:tcW w:w="17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20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5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34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B. ECHIPAMENTE DE MUNCĂ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echipament</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Marca / tipul</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Sarcină efectuată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Laptop</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Imprimanta</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Telefon</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Mobilier birou</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aer condiționat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Articole birou, documente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7.</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Congelatoare înghețată</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SAMAREF</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8.</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Vitrina frigorifica, frigidere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9.</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Masina de spălat vase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MASTRO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10.</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espresso</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 MARZOCCO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Casa de marcat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PRIM AJUTOR</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Trusa de prim ajutor</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Acordare prim ajutor</w:t>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MIJLOACE P.S.I.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bucăți</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t>Stingător P6</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Stingător G3</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Hidranți interiori / exteriori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center" w:pos="235"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Scări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Cs/>
          <w:kern w:val="2"/>
          <w:sz w:val="2"/>
          <w:szCs w:val="18"/>
          <w:lang w:val="it-CH"/>
        </w:rPr>
      </w:pPr>
      <w:r>
        <w:rPr>
          <w:rFonts w:eastAsia="Arial" w:cs="Arial" w:ascii="Arial" w:hAnsi="Arial"/>
          <w:bCs/>
          <w:color w:val="auto"/>
          <w:spacing w:val="0"/>
          <w:w w:val="100"/>
          <w:kern w:val="2"/>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deciziei nr. 2 SSM din {{issueDate}} să stabilit echipa de evaluare pentru {{client.legalName}}.</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33"/>
        <w:gridCol w:w="3052"/>
        <w:gridCol w:w="5570"/>
      </w:tblGrid>
      <w:tr>
        <w:trPr>
          <w:tblHeader w:val="true"/>
          <w:trHeight w:val="20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ECHIPA DE EVALUARE NR. 1 PENTRU DEPARTAMENTUL PRODUCȚIE</w:t>
            </w:r>
          </w:p>
        </w:tc>
      </w:tr>
      <w:tr>
        <w:trPr>
          <w:trHeight w:val="240" w:hRule="atLeast"/>
        </w:trPr>
        <w:tc>
          <w:tcPr>
            <w:tcW w:w="733"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3052"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NUME/ PRENUME</w:t>
            </w:r>
          </w:p>
        </w:tc>
        <w:tc>
          <w:tcPr>
            <w:tcW w:w="5570" w:type="dxa"/>
            <w:tcBorders>
              <w:top w:val="single" w:sz="4" w:space="0" w:color="000000"/>
              <w:left w:val="double" w:sz="4" w:space="0" w:color="000000"/>
              <w:bottom w:val="double" w:sz="4" w:space="0" w:color="000000"/>
              <w:right w:val="sing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FUNCȚIA (ÎNCADRAREA ÎN MUNCĂ)</w:t>
            </w:r>
          </w:p>
        </w:tc>
      </w:tr>
      <w:tr>
        <w:trPr>
          <w:trHeight w:val="40" w:hRule="atLeast"/>
        </w:trPr>
        <w:tc>
          <w:tcPr>
            <w:tcW w:w="733" w:type="dxa"/>
            <w:tcBorders>
              <w:top w:val="double" w:sz="4" w:space="0" w:color="000000"/>
              <w:left w:val="single" w:sz="4" w:space="0" w:color="000000"/>
              <w:bottom w:val="single" w:sz="4" w:space="0" w:color="000000"/>
              <w:right w:val="doub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305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b/>
                <w:sz w:val="18"/>
                <w:szCs w:val="18"/>
                <w:lang w:val="it-IT"/>
              </w:rPr>
            </w:pPr>
            <w:r>
              <w:rPr>
                <w:rFonts w:eastAsia="Arial" w:cs="Arial" w:ascii="Arial" w:hAnsi="Arial"/>
                <w:color w:val="auto"/>
                <w:spacing w:val="0"/>
                <w:w w:val="100"/>
                <w:sz w:val="20"/>
                <w:szCs w:val="20"/>
                <w:lang w:val="ro-RO"/>
              </w:rPr>
              <w:t>{{workplaceManager.name}}</w:t>
            </w:r>
          </w:p>
        </w:tc>
        <w:tc>
          <w:tcPr>
            <w:tcW w:w="557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Manager magazin - {{client.legalName}}</w:t>
            </w:r>
          </w:p>
        </w:tc>
      </w:tr>
      <w:tr>
        <w:trPr>
          <w:trHeight w:val="70" w:hRule="atLeast"/>
        </w:trPr>
        <w:tc>
          <w:tcPr>
            <w:tcW w:w="733" w:type="dxa"/>
            <w:tcBorders>
              <w:top w:val="single" w:sz="4" w:space="0" w:color="000000"/>
              <w:left w:val="single" w:sz="4" w:space="0" w:color="000000"/>
              <w:bottom w:val="single" w:sz="4" w:space="0" w:color="000000"/>
              <w:right w:val="double" w:sz="4" w:space="0" w:color="000000"/>
            </w:tcBorders>
            <w:shd w:color="auto" w:fill="F3F3F3"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305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{{specialist.name}}</w:t>
            </w:r>
          </w:p>
        </w:tc>
        <w:tc>
          <w:tcPr>
            <w:tcW w:w="5570" w:type="dxa"/>
            <w:tcBorders>
              <w:top w:val="sing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Evaluator riscuri – {{provider.legalName}}</w:t>
            </w:r>
          </w:p>
        </w:tc>
      </w:tr>
    </w:tbl>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8"/>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1"/>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2"/>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4"/>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start="20"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2"/>
        <w:gridCol w:w="895"/>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5"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2"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2"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2"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5"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2"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5"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2"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5"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2"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5"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2"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5"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5"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5"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6"/>
        <w:gridCol w:w="1289"/>
        <w:gridCol w:w="700"/>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5"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0"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6"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6"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3"/>
        <w:gridCol w:w="7042"/>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7" behindDoc="0" locked="0" layoutInCell="1" allowOverlap="1" wp14:anchorId="6FA19AD0">
                      <wp:simplePos x="0" y="0"/>
                      <wp:positionH relativeFrom="column">
                        <wp:posOffset>169545</wp:posOffset>
                      </wp:positionH>
                      <wp:positionV relativeFrom="paragraph">
                        <wp:posOffset>108585</wp:posOffset>
                      </wp:positionV>
                      <wp:extent cx="333375" cy="343535"/>
                      <wp:effectExtent l="6350" t="6985" r="6350" b="6985"/>
                      <wp:wrapNone/>
                      <wp:docPr id="7" name="Line 757"/>
                      <a:graphic xmlns:a="http://schemas.openxmlformats.org/drawingml/2006/main">
                        <a:graphicData uri="http://schemas.microsoft.com/office/word/2010/wordprocessingShape">
                          <wps:wsp>
                            <wps:cNvSpPr/>
                            <wps:spPr>
                              <a:xfrm>
                                <a:off x="0" y="0"/>
                                <a:ext cx="333360" cy="3434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55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2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2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2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9"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2"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3"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21"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3"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7"/>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7"/>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7"/>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CAPITOLUL V. UTILIZAREA METODEI ELABORATE DE I.N.C.D.P.M. BUCUREȘTI PENTRU EVALUAREA RISCURILOR DE ACCIDENTARE ȘI ÎMBOLNǍVIRE PROFESIONALǍ LA</w:t>
      </w:r>
    </w:p>
    <w:p>
      <w:pPr>
        <w:pStyle w:val="Normal"/>
        <w:widowControl/>
        <w:spacing w:before="0" w:after="240"/>
        <w:ind w:hanging="0"/>
        <w:jc w:val="center"/>
        <w:rPr>
          <w:rFonts w:ascii="Arial" w:hAnsi="Arial" w:cs="Arial"/>
          <w:b/>
          <w:sz w:val="20"/>
          <w:szCs w:val="20"/>
        </w:rPr>
      </w:pPr>
      <w:r>
        <w:rPr>
          <w:rFonts w:eastAsia="Arial" w:cs="Arial" w:ascii="Arial" w:hAnsi="Arial"/>
          <w:b/>
          <w:color w:val="auto"/>
          <w:spacing w:val="0"/>
          <w:w w:val="100"/>
          <w:sz w:val="20"/>
          <w:szCs w:val="20"/>
          <w:lang w:val="ro-RO"/>
        </w:rPr>
        <w:t>{{client.legalName}}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 EVALUAREA RISCURILOR DE ACCIDENTARE ȘI ÎMBOLNǍVIRE PROFESIONALǍ PENTRU LOCUL DE MUNCĂ: BIROU,</w:t>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eastAsia="en-US"/>
        </w:rPr>
      </w:pPr>
      <w:r>
        <w:rPr>
          <w:rFonts w:eastAsia="Arial" w:cs="Arial" w:ascii="Arial" w:hAnsi="Arial"/>
          <w:color w:val="auto"/>
          <w:spacing w:val="0"/>
          <w:w w:val="100"/>
          <w:sz w:val="20"/>
          <w:szCs w:val="20"/>
          <w:lang w:val="ro-RO"/>
        </w:rPr>
        <w:t>Având în vedere că obiectul de activitate al societății comerciale este conform CAEN 5630 – Baruri și alte activități de servire a băuturilor</w:t>
      </w:r>
      <w:r>
        <w:rPr>
          <w:rFonts w:eastAsia="Arial" w:cs="Arial" w:ascii="Arial" w:hAnsi="Arial"/>
          <w:color w:val="auto"/>
          <w:spacing w:val="0"/>
          <w:w w:val="100"/>
          <w:sz w:val="20"/>
          <w:szCs w:val="20"/>
          <w:lang w:val="ro-RO" w:eastAsia="en-US"/>
        </w:rPr>
        <w:t>, activitățile societății la sediul social al {{client.legalName}}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Departamentului Tehnico-Administrativ:</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93"/>
        <w:gridCol w:w="2542"/>
        <w:gridCol w:w="6120"/>
      </w:tblGrid>
      <w:tr>
        <w:trPr>
          <w:tblHeader w:val="true"/>
          <w:trHeight w:val="240" w:hRule="atLeast"/>
        </w:trPr>
        <w:tc>
          <w:tcPr>
            <w:tcW w:w="69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42"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120"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69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4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12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bCs/>
                <w:sz w:val="18"/>
                <w:szCs w:val="18"/>
              </w:rPr>
            </w:pPr>
            <w:r>
              <w:rPr>
                <w:rFonts w:eastAsia="Arial" w:cs="Arial" w:ascii="Arial" w:hAnsi="Arial"/>
                <w:b/>
                <w:bCs/>
                <w:color w:val="auto"/>
                <w:spacing w:val="0"/>
                <w:w w:val="100"/>
                <w:sz w:val="20"/>
                <w:szCs w:val="20"/>
                <w:lang w:val="ro-RO"/>
              </w:rPr>
              <w:t>MANAGER MAGAZIN</w:t>
            </w:r>
          </w:p>
        </w:tc>
      </w:tr>
      <w:tr>
        <w:trPr>
          <w:trHeight w:val="98"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120"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120"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de birou</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120"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de birou.</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categorie de personal asigură pregătirea documentelor specifice activității în conformitate cu dispozițiile legale și interesele unității.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birou.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Personalul administrativ, în marea majoritate a timpului de lucru desfășoară activități statice de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de birou, calculator personal, imprimante, trusă de prim ajutor, scaune reglabile, accesorii telefon (cabluri de date, încărcătoare, etc.), telefon mobil, elemente de birotica, documente, dulap documente, sursa de apă (chiuvetă), aer condiționat, iluminat lămpi, grup sanitar, bibliorafturi, filtru de cafea, frigider, cutter, scaner, Descktop PC, laptop sau noteboock, capsator, perforator, ace de gămălie, clipsuri pentru documente, ghilotina documente, modem și rooter internet, stingător P6.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colaboratorii pentru raportarea situației din ziua precedentă și organizarea noilor sarcini de serviciu;</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și șefii ierarhici programul zilnic și periodic al activităților din unitate, și asigurarea coerenta a programului de muncă;</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urmărește și verifică efectuarea lucrărilor încheiate sau în curs de efectuare sau care urmează a fi efectuate dispunând măsurile necesare (în funcție de rezultatele acestor verificări);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execută orice altă sarcină de serviciu pentru bunul mers al activității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rezolvă corespondența sosită;</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ia legătura telefonic cu colaboratorii pentru rezolvarea problemelor curente;</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informează asupra lucrărilor ce urmează a fi efectuate pe ziua în curs sau continuarea lucrărilor din ziua precedentă;</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și depune documentația necesară obținerii deferitelor avize și autorizații pentru desfășurarea legală a activității unității;</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lucrări utilizând tehnica de calcul;</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decizie;</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calități de bun conducător;</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întocmirea legală a documentelor de specialitate;</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realiza norma de muncă sau, după caz, de a îndeplinii atribuțiile ce îi revin conforn fișei postului;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disciplina muncii;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secretul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obilgatia de a se supune obiectivelor de performanta individuale impuse, precum și criteriilor de evaluare a realizării acestora;</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respectă normele de securitate a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poziționarea greșită a operatorului față de echipamentul I.T.;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aparaturii electronice;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ListParagraph"/>
        <w:widowControl/>
        <w:numPr>
          <w:ilvl w:val="0"/>
          <w:numId w:val="50"/>
        </w:numPr>
        <w:spacing w:before="0" w:after="40"/>
        <w:contextualSpacing/>
        <w:jc w:val="left"/>
        <w:rPr>
          <w:rFonts w:ascii="Arial" w:hAnsi="Arial" w:cs="Arial"/>
          <w:sz w:val="18"/>
          <w:szCs w:val="18"/>
          <w:lang w:val="en-US" w:eastAsia="en-US"/>
        </w:rPr>
      </w:pPr>
      <w:r>
        <w:rPr>
          <w:rFonts w:eastAsia="Arial" w:cs="Arial" w:ascii="Arial" w:hAnsi="Arial"/>
          <w:color w:val="auto"/>
          <w:spacing w:val="0"/>
          <w:w w:val="100"/>
          <w:sz w:val="20"/>
          <w:szCs w:val="20"/>
          <w:lang w:val="ro-RO"/>
        </w:rPr>
        <w:t>Accidentare la căderea personalului de pe scări, trepte.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 în spațiul de birou;</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lucru prelungit la echipamentele de calcul în fața monitoarelor, poziție neergonomica.</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ritm de muncă intens; monotonia muncii de birou.</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lang w:val="ro-RO"/>
        </w:rPr>
        <w:t>Alte riscuri: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 (ace de gămălie, cutter, capsator, ace de gămălie, clipsuri pentru documente, etc.)</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la birou, cabluri dispuse incorect, podele denivelate, praguri nesemnalizate;</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p>
      <w:pPr>
        <w:pStyle w:val="ListParagraph"/>
        <w:widowControl/>
        <w:numPr>
          <w:ilvl w:val="0"/>
          <w:numId w:val="50"/>
        </w:numPr>
        <w:spacing w:before="0" w:after="40"/>
        <w:contextualSpacing/>
        <w:jc w:val="left"/>
        <w:rPr>
          <w:rFonts w:ascii="Arial" w:hAnsi="Arial" w:cs="Arial"/>
          <w:b/>
          <w:sz w:val="16"/>
          <w:szCs w:val="16"/>
          <w:lang w:val="pt-BR"/>
        </w:rPr>
      </w:pPr>
      <w:r>
        <w:rPr>
          <w:rFonts w:eastAsia="Arial" w:cs="Arial" w:ascii="Arial" w:hAnsi="Arial"/>
          <w:color w:val="auto"/>
          <w:spacing w:val="0"/>
          <w:w w:val="100"/>
          <w:sz w:val="20"/>
          <w:szCs w:val="20"/>
          <w:lang w:val="ro-RO"/>
        </w:rPr>
        <w:t>Reflexii ale luminii naturale sau artificiale în câmpul vizual al lucrătorului;</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zgomot emis în timpul funcționării echipamentelor;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lang w:val="ro-RO"/>
        </w:rPr>
        <w:t>III. FIȘA DE EVALUARE A RISCURILOR DE ACCIDENTARE ȘI/ SAU ÎMBOLNĂVIRE PROFESIONALĂ</w:t>
      </w:r>
    </w:p>
    <w:p>
      <w:pPr>
        <w:pStyle w:val="Normal"/>
        <w:keepNext w:val="true"/>
        <w:widowControl/>
        <w:spacing w:before="0" w:after="0"/>
        <w:ind w:hanging="0"/>
        <w:jc w:val="left"/>
        <w:rPr>
          <w:rFonts w:ascii="Arial" w:hAnsi="Arial" w:cs="Arial"/>
          <w:b/>
          <w:sz w:val="2"/>
          <w:szCs w:val="16"/>
        </w:rPr>
      </w:pPr>
      <w:r>
        <w:rPr>
          <w:rFonts w:eastAsia="Arial" w:cs="Arial" w:ascii="Arial" w:hAnsi="Arial"/>
          <w:b/>
          <w:color w:val="auto"/>
          <w:spacing w:val="0"/>
          <w:w w:val="100"/>
          <w:sz w:val="2"/>
          <w:szCs w:val="20"/>
          <w:lang w:val="ro-RO"/>
        </w:rPr>
      </w:r>
    </w:p>
    <w:tbl>
      <w:tblPr>
        <w:tblW w:w="5000" w:type="pct"/>
        <w:jc w:val="left"/>
        <w:tblInd w:w="18" w:type="dxa"/>
        <w:tblLayout w:type="fixed"/>
        <w:tblCellMar>
          <w:top w:w="17" w:type="dxa"/>
          <w:left w:w="108" w:type="dxa"/>
          <w:bottom w:w="17" w:type="dxa"/>
          <w:right w:w="108" w:type="dxa"/>
        </w:tblCellMar>
        <w:tblLook w:noHBand="0" w:noVBand="0" w:firstColumn="1" w:lastRow="1" w:lastColumn="1" w:firstRow="1" w:val="01e0"/>
      </w:tblPr>
      <w:tblGrid>
        <w:gridCol w:w="1270"/>
        <w:gridCol w:w="1127"/>
        <w:gridCol w:w="3273"/>
        <w:gridCol w:w="1117"/>
        <w:gridCol w:w="934"/>
        <w:gridCol w:w="310"/>
        <w:gridCol w:w="538"/>
        <w:gridCol w:w="786"/>
      </w:tblGrid>
      <w:tr>
        <w:trPr>
          <w:tblHeader w:val="true"/>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27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1 persoane</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8h / schimb</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PERSONAL CU ACTIVITĂȚI DE 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12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27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4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7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70"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12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27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4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70"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127"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27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Căderi de obiecte de pe birou, sau de pe rafturi amplasate necorespunza-tor.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Alunecarea și căderea, împiedicarea pe traseul de deplasare de la domiciliu la locul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Acțiunea radiațiilor emise de monitoarele calculatoarelor.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F13.</w:t>
            </w:r>
            <w:r>
              <w:rPr>
                <w:rFonts w:eastAsia="Arial" w:cs="Arial" w:ascii="Arial" w:hAnsi="Arial"/>
                <w:color w:val="auto"/>
                <w:spacing w:val="0"/>
                <w:w w:val="100"/>
                <w:sz w:val="16"/>
                <w:szCs w:val="16"/>
                <w:lang w:val="ro-RO"/>
              </w:rPr>
              <w:t xml:space="preserve"> Reflexii ale luminii naturale sau artificiale în câmpul vizual al lucrătorului;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3 – 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F14.</w:t>
            </w:r>
            <w:r>
              <w:rPr>
                <w:rFonts w:eastAsia="Arial" w:cs="Arial" w:ascii="Arial" w:hAnsi="Arial"/>
                <w:color w:val="auto"/>
                <w:spacing w:val="0"/>
                <w:w w:val="100"/>
                <w:sz w:val="16"/>
                <w:szCs w:val="16"/>
                <w:lang w:val="ro-RO"/>
              </w:rPr>
              <w:t xml:space="preserve"> Zgomot emis în timpul funcționării echipamentelor.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F15.</w:t>
            </w:r>
            <w:r>
              <w:rPr>
                <w:rFonts w:eastAsia="Arial" w:cs="Arial" w:ascii="Arial" w:hAnsi="Arial"/>
                <w:color w:val="auto"/>
                <w:spacing w:val="0"/>
                <w:w w:val="100"/>
                <w:sz w:val="16"/>
                <w:szCs w:val="16"/>
                <w:lang w:val="ro-RO"/>
              </w:rPr>
              <w:t xml:space="preserve"> Praf rezultat la manevrarea documentelor rezultând posibile îmbolnăviri ale aparatului respirator.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F16.</w:t>
            </w:r>
            <w:r>
              <w:rPr>
                <w:rFonts w:eastAsia="Arial" w:cs="Arial" w:ascii="Arial" w:hAnsi="Arial"/>
                <w:color w:val="auto"/>
                <w:spacing w:val="0"/>
                <w:w w:val="100"/>
                <w:sz w:val="16"/>
                <w:szCs w:val="16"/>
                <w:lang w:val="ro-RO"/>
              </w:rPr>
              <w:t>Calamități naturale (trăsnete, vânt, grindină, prăbușiri de copaci, zăpada, cutremur).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infectare cu viruși, bacterii de pe suprafețe nedezinfectate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F18. </w:t>
            </w:r>
            <w:r>
              <w:rPr>
                <w:rFonts w:eastAsia="Arial" w:cs="Arial" w:ascii="Arial" w:hAnsi="Arial"/>
                <w:color w:val="auto"/>
                <w:spacing w:val="0"/>
                <w:w w:val="100"/>
                <w:sz w:val="16"/>
                <w:szCs w:val="16"/>
                <w:lang w:val="ro-RO"/>
              </w:rPr>
              <w:t>infectarea cu viruși de la persoanele cu care intra în contact;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Utilizarea necorespunzătoare a echipamentului electric.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F20.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Utilizarea greșită a mobilierului de birou.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F22</w:t>
            </w:r>
            <w:r>
              <w:rPr>
                <w:rFonts w:eastAsia="Arial" w:cs="Arial" w:ascii="Arial" w:hAnsi="Arial"/>
                <w:color w:val="auto"/>
                <w:spacing w:val="0"/>
                <w:w w:val="100"/>
                <w:sz w:val="16"/>
                <w:szCs w:val="16"/>
                <w:lang w:val="ro-RO"/>
              </w:rPr>
              <w:t>.Poziționarea greșită a operatorului față de echipamentul 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 –</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Răsturnarea accidentală a recipientelor cu lichide de pe birou pe instalațiile electrice sau aparaturi electronice.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4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F24.</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F25.</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03"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F27.</w:t>
            </w:r>
            <w:r>
              <w:rPr>
                <w:rFonts w:eastAsia="Arial" w:cs="Arial" w:ascii="Arial" w:hAnsi="Arial"/>
                <w:color w:val="auto"/>
                <w:spacing w:val="0"/>
                <w:w w:val="100"/>
                <w:sz w:val="16"/>
                <w:szCs w:val="16"/>
                <w:lang w:val="ro-RO"/>
              </w:rPr>
              <w:t>Accidentare la căderea personalului de pe scări, trepte.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F28. </w:t>
            </w:r>
            <w:r>
              <w:rPr>
                <w:rFonts w:eastAsia="Arial" w:cs="Arial" w:ascii="Arial" w:hAnsi="Arial"/>
                <w:color w:val="auto"/>
                <w:spacing w:val="0"/>
                <w:w w:val="100"/>
                <w:sz w:val="16"/>
                <w:szCs w:val="16"/>
                <w:lang w:val="ro-RO"/>
              </w:rPr>
              <w:t>Fumatul în locuri nepermise (risc de incendiu sau explozie).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58"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F29. </w:t>
            </w:r>
            <w:r>
              <w:rPr>
                <w:rFonts w:eastAsia="Arial" w:cs="Arial" w:ascii="Arial" w:hAnsi="Arial"/>
                <w:color w:val="auto"/>
                <w:spacing w:val="0"/>
                <w:w w:val="100"/>
                <w:sz w:val="16"/>
                <w:szCs w:val="16"/>
                <w:lang w:val="ro-RO"/>
              </w:rPr>
              <w:t>Lipsa trusei de prim ajutor;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2"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70"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Amplasarea necorespunzătoare a videoterminalelor (obosirea ochilor, boli profesionale).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&lt; 3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5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F33.</w:t>
            </w:r>
            <w:r>
              <w:rPr>
                <w:rFonts w:eastAsia="Arial" w:cs="Arial" w:ascii="Arial" w:hAnsi="Arial"/>
                <w:color w:val="auto"/>
                <w:spacing w:val="0"/>
                <w:w w:val="100"/>
                <w:sz w:val="16"/>
                <w:szCs w:val="16"/>
                <w:lang w:val="ro-RO"/>
              </w:rPr>
              <w:t xml:space="preserve"> lucru prelungit la echipamentele de calcul în fața monitoarelor, afecțiuni ale sistemului osteo-musculo-articular din cauza pozițiilor de lucru vicioase.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F34.</w:t>
            </w:r>
            <w:r>
              <w:rPr>
                <w:rFonts w:eastAsia="Arial" w:cs="Arial" w:ascii="Arial" w:hAnsi="Arial"/>
                <w:color w:val="auto"/>
                <w:spacing w:val="0"/>
                <w:w w:val="100"/>
                <w:sz w:val="16"/>
                <w:szCs w:val="16"/>
                <w:lang w:val="ro-RO"/>
              </w:rPr>
              <w:t xml:space="preserve"> Ritm de muncă intens, uneori program prelungit.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F35.</w:t>
            </w:r>
            <w:r>
              <w:rPr>
                <w:rFonts w:eastAsia="Arial" w:cs="Arial" w:ascii="Arial" w:hAnsi="Arial"/>
                <w:color w:val="auto"/>
                <w:spacing w:val="0"/>
                <w:w w:val="100"/>
                <w:kern w:val="2"/>
                <w:sz w:val="16"/>
                <w:szCs w:val="16"/>
                <w:lang w:val="ro-RO"/>
              </w:rPr>
              <w:t xml:space="preserve"> solicitare psihică – operații repetitive de ciclu scurt sau mediu și operații extrem de complexe;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F36.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F37. </w:t>
            </w:r>
            <w:r>
              <w:rPr>
                <w:rFonts w:eastAsia="Arial" w:cs="Arial" w:ascii="Arial" w:hAnsi="Arial"/>
                <w:color w:val="auto"/>
                <w:spacing w:val="0"/>
                <w:w w:val="100"/>
                <w:sz w:val="16"/>
                <w:szCs w:val="16"/>
                <w:lang w:val="ro-RO"/>
              </w:rPr>
              <w:t>Accepta să efectueze sarcini periculoase pentru securitatea muncii.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lang w:val="es-ES_tradnl"/>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BIROU, 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F9.</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F24.</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tabs>
          <w:tab w:val="clear" w:pos="720"/>
          <w:tab w:val="left" w:pos="4110" w:leader="none"/>
        </w:tabs>
        <w:spacing w:before="0" w:after="120"/>
        <w:ind w:hanging="0"/>
        <w:jc w:val="left"/>
        <w:rPr>
          <w:rFonts w:ascii="Arial" w:hAnsi="Arial" w:cs="Arial"/>
          <w:color w:val="FF0000"/>
          <w:sz w:val="18"/>
          <w:szCs w:val="18"/>
        </w:rPr>
      </w:pPr>
      <w:r>
        <w:rPr>
          <w:rFonts w:eastAsia="Arial" w:cs="Arial" w:ascii="Arial" w:hAnsi="Arial"/>
          <w:color w:val="auto"/>
          <w:spacing w:val="0"/>
          <w:w w:val="100"/>
          <w:sz w:val="20"/>
          <w:szCs w:val="20"/>
          <w:lang w:val="ro-RO"/>
        </w:rPr>
        <w:t>V. INTERPRETAREA REZULTATELOR EVALUĂRII PENTRU LOCUL DE MUNCĂ: 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 IERARHIZAREA RISCURILOR EVALUATE</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Reflexii ale luminii naturale sau artificiale în câmpul vizual al lucrătorului;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Poziționarea greșită a operatorului față de echipamentul 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 electronice.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Accidentare la căderea personalului de pe scări, trepte.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lucru prelungit la echipamentele de calcul în fața monitoarelor, afecțiuni ale sistemului osteo-musculo-articular din cauza pozițiilor de lucru vicioase.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Zgomot emis în timpul funcționării echipamentelor.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NIVELURILE PARȚIALE DE RISC PENTRU LOCUL DE MUNCĂ: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PENTRU LOCUL DE MUNCĂ:</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1</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185</m:t>
              </m:r>
            </m:num>
            <m:den>
              <m:eqArr>
                <m:e>
                  <m:r>
                    <m:rPr>
                      <m:lit/>
                      <m:nor/>
                    </m:rPr>
                    <w:rPr>
                      <w:rFonts w:ascii="Cambria Math" w:hAnsi="Cambria Math"/>
                    </w:rPr>
                    <m:t xml:space="preserve">&amp;</m:t>
                  </m:r>
                  <m:r>
                    <w:rPr>
                      <w:rFonts w:ascii="Cambria Math" w:hAnsi="Cambria Math"/>
                    </w:rPr>
                    <m:t xml:space="preserve">77</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2,40</m:t>
          </m:r>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BIROU (</w:t>
      </w:r>
      <w:r>
        <w:rPr>
          <w:rFonts w:eastAsia="Arial" w:cs="Arial" w:ascii="Arial" w:hAnsi="Arial"/>
          <w:b/>
          <w:color w:val="auto"/>
          <w:spacing w:val="0"/>
          <w:w w:val="100"/>
          <w:sz w:val="20"/>
          <w:szCs w:val="20"/>
          <w:lang w:val="ro-RO"/>
        </w:rPr>
        <w:t>MANAGER MAGAZIN</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2,40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37</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19 -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24 -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16,22 %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35,14 %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5,41 %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BIROU, POSTUL DE LUCRU: </w:t>
      </w:r>
      <w:r>
        <w:rPr>
          <w:rFonts w:eastAsia="Arial" w:cs="Arial" w:ascii="Arial" w:hAnsi="Arial"/>
          <w:b/>
          <w:color w:val="auto"/>
          <w:spacing w:val="0"/>
          <w:w w:val="100"/>
          <w:sz w:val="20"/>
          <w:szCs w:val="20"/>
          <w:lang w:val="ro-RO"/>
        </w:rPr>
        <w:t>MANAGER MAGAZIN</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bookmarkStart w:id="0" w:name="_Hlk45655702"/>
      <w:r>
        <w:rPr>
          <w:rFonts w:eastAsia="Arial" w:cs="Arial" w:ascii="Arial" w:hAnsi="Arial"/>
          <w:color w:val="auto"/>
          <w:spacing w:val="0"/>
          <w:w w:val="100"/>
          <w:sz w:val="2"/>
          <w:szCs w:val="20"/>
          <w:lang w:val="ro-RO"/>
        </w:rPr>
        <w:drawing>
          <wp:inline distT="0" distB="0" distL="0" distR="0">
            <wp:extent cx="4183380" cy="2202180"/>
            <wp:effectExtent l="0" t="0" r="0" b="0"/>
            <wp:docPr id="18" name="Chart 97785859"/>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bookmarkEnd w:id="0"/>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BARMAN PREPARATOR</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bookmarkStart w:id="1" w:name="_Hlk128584338"/>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bookmarkEnd w:id="1"/>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bookmarkStart w:id="2" w:name="_Hlk128584569"/>
      <w:r>
        <w:rPr>
          <w:rFonts w:eastAsia="Arial" w:cs="Arial" w:ascii="Arial" w:hAnsi="Arial"/>
          <w:color w:val="auto"/>
          <w:spacing w:val="0"/>
          <w:w w:val="100"/>
          <w:sz w:val="20"/>
          <w:szCs w:val="20"/>
          <w:lang w:val="ro-RO"/>
        </w:rPr>
        <w:t>Arsuri în cazul producerii unor incendii în spațiile de lucru datorită echipamentelor de muncă.</w:t>
      </w:r>
      <w:bookmarkEnd w:id="2"/>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bookmarkStart w:id="3" w:name="_Hlk128584682"/>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bookmarkEnd w:id="3"/>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BARMAN PREPARATOR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9" name="Chart 86387958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bookmarkStart w:id="4" w:name="_Hlk128670172"/>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2</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bookmarkEnd w:id="4"/>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 xml:space="preserve">BARMAN PREPARATOR </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LUCRĂTOR COMERCIAL</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LUCRĂTOR COMERCIAL</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1" name="Chart 124161573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3</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LUCRĂTOR COMERCIAL</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2" name="Chart 129994618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GRUPURI SENSIBILE ( FEMEI GRAVIDE, LEHUZELE SAU FEMEILE CARE ALĂPTEAZĂ, TINERII, PERSOANELE CU DIZABILITĂȚI )</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color w:val="auto"/>
                <w:spacing w:val="0"/>
                <w:w w:val="100"/>
                <w:sz w:val="20"/>
                <w:szCs w:val="20"/>
                <w:lang w:val="ro-RO"/>
              </w:rPr>
              <w:t>Angajat în funcția de Lucrător comercial care se încadrează în grupurile sensibile la riscuri speciale – femeile gravide, lehuzele sau femeile care alăptează, tinerii, persoanele cu dizabilități.</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bookmarkStart w:id="5" w:name="_Hlk128673785"/>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 </w:t>
      </w:r>
      <w:r>
        <w:rPr>
          <w:rFonts w:eastAsia="Arial" w:cs="Arial" w:ascii="Arial" w:hAnsi="Arial"/>
          <w:b/>
          <w:color w:val="auto"/>
          <w:spacing w:val="0"/>
          <w:w w:val="100"/>
          <w:sz w:val="20"/>
          <w:szCs w:val="20"/>
          <w:lang w:val="ro-RO"/>
        </w:rPr>
        <w:t>FEMEI GRAVIDE, LEHUZELE SAU FEMEILE CARE ALĂPTEAZĂ, TINERII, PERSOANELE CU DIZABILITĂȚI )</w:t>
      </w:r>
      <w:bookmarkEnd w:id="5"/>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GRUPURI SENSIBILE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GRUPURI SENSIBILE</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3" name="Chart 1675766365"/>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4</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4" name="Chart 1556585652"/>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bookmarkStart w:id="6" w:name="_Hlk128675180"/>
      <w:r>
        <w:rPr>
          <w:rFonts w:eastAsia="Arial" w:cs="Arial" w:ascii="Arial" w:hAnsi="Arial"/>
          <w:b/>
          <w:color w:val="auto"/>
          <w:spacing w:val="0"/>
          <w:w w:val="100"/>
          <w:sz w:val="20"/>
          <w:szCs w:val="20"/>
          <w:lang w:val="ro-RO"/>
        </w:rPr>
        <w:t xml:space="preserve">SUBCAPITOLUL V.V.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VIZITATORI</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bookmarkEnd w:id="6"/>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VIZITATOR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Efectuează activități de vizualizare, comanda și/sau cumpărare în cadrul gelateriei, barului, terasei.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bookmarkStart w:id="7" w:name="_Hlk128675324"/>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Vizitatoruli desfășoară activități în cadrul </w:t>
      </w:r>
      <w:r>
        <w:rPr>
          <w:rFonts w:eastAsia="Arial" w:cs="Arial" w:ascii="Arial" w:hAnsi="Arial"/>
          <w:b/>
          <w:bCs/>
          <w:color w:val="auto"/>
          <w:spacing w:val="0"/>
          <w:w w:val="100"/>
          <w:sz w:val="20"/>
          <w:szCs w:val="20"/>
          <w:lang w:val="ro-RO" w:eastAsia="en-US"/>
        </w:rPr>
        <w:t xml:space="preserve">gelateriei </w:t>
      </w:r>
      <w:r>
        <w:rPr>
          <w:rFonts w:eastAsia="Arial" w:cs="Arial" w:ascii="Arial" w:hAnsi="Arial"/>
          <w:color w:val="auto"/>
          <w:spacing w:val="0"/>
          <w:w w:val="100"/>
          <w:sz w:val="20"/>
          <w:szCs w:val="20"/>
          <w:lang w:val="ro-RO"/>
        </w:rPr>
        <w:t>- restaurant, bar, terasa de tipul vizualizării și comandarii de produse de care are nevoie.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Vizitatorul își desfășoară activitatea în spațiu închis și deschis.</w:t>
      </w:r>
    </w:p>
    <w:p>
      <w:pPr>
        <w:pStyle w:val="Normal"/>
        <w:widowControl/>
        <w:tabs>
          <w:tab w:val="clear" w:pos="720"/>
          <w:tab w:val="left" w:pos="1668"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2.Sarcina de muncă:</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Sosirea în cadrul </w:t>
      </w:r>
      <w:r>
        <w:rPr>
          <w:rFonts w:eastAsia="Arial" w:cs="Arial" w:ascii="Arial" w:hAnsi="Arial"/>
          <w:b/>
          <w:bCs/>
          <w:color w:val="auto"/>
          <w:spacing w:val="0"/>
          <w:w w:val="100"/>
          <w:sz w:val="20"/>
          <w:szCs w:val="20"/>
          <w:lang w:val="ro-RO" w:eastAsia="en-US"/>
        </w:rPr>
        <w:t>gelateriei</w:t>
      </w:r>
      <w:r>
        <w:rPr>
          <w:rFonts w:eastAsia="Arial" w:cs="Arial" w:ascii="Arial" w:hAnsi="Arial"/>
          <w:color w:val="auto"/>
          <w:spacing w:val="0"/>
          <w:w w:val="100"/>
          <w:sz w:val="20"/>
          <w:szCs w:val="20"/>
          <w:lang w:val="ro-RO"/>
        </w:rPr>
        <w:t>.</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Informează personalul despre produsele pe care dorește să le achiziționeze.</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regulamentul de ordine interioara.</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și îndeplinește cu strictețe normele psi și ssm.</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Atitudine:</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buna purtare.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Responsabilități:</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intreprinse cu respectarea normelor de SSM.</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Vizitatorii au obligația de a respecta regulamentul intern al unității..</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Limite de competență:</w:t>
      </w:r>
    </w:p>
    <w:p>
      <w:pPr>
        <w:pStyle w:val="Normal"/>
        <w:widowControl/>
        <w:numPr>
          <w:ilvl w:val="0"/>
          <w:numId w:val="6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3.Mijloace de producție:</w:t>
      </w:r>
    </w:p>
    <w:p>
      <w:pPr>
        <w:pStyle w:val="Normal"/>
        <w:widowControl/>
        <w:spacing w:before="0" w:after="120"/>
        <w:ind w:hanging="0"/>
        <w:jc w:val="left"/>
        <w:rPr>
          <w:rFonts w:ascii="Arial" w:hAnsi="Arial" w:cs="Arial"/>
          <w:sz w:val="18"/>
          <w:szCs w:val="18"/>
          <w:lang w:val="en-US" w:eastAsia="en-US"/>
        </w:rPr>
      </w:pPr>
      <w:r>
        <w:rPr>
          <w:rFonts w:eastAsia="Arial" w:cs="Arial" w:ascii="Arial" w:hAnsi="Arial"/>
          <w:color w:val="auto"/>
          <w:spacing w:val="0"/>
          <w:w w:val="100"/>
          <w:sz w:val="20"/>
          <w:szCs w:val="20"/>
          <w:lang w:val="ro-RO"/>
        </w:rPr>
        <w:t>Mijloace de muncă: Dotări specifice restaurantului, instalația electrică, mobilier, trusa de prim ajutor, stingător P6.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și deschis într-un climat propice desfășurării activității. Temperatura și umiditatea aerului sunt în parametrii nomali.</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Iluminatul este artificial și natural. Nivelul de zgomot se încadrează în limitele normale situându-se sub valoarea limitei maxime admise (85 dB LMA).</w:t>
      </w:r>
      <w:bookmarkEnd w:id="7"/>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8" w:name="_Hlk128675423"/>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mijloacelor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Electric:</w:t>
      </w:r>
    </w:p>
    <w:p>
      <w:pPr>
        <w:pStyle w:val="ListParagraph"/>
        <w:widowControl/>
        <w:numPr>
          <w:ilvl w:val="0"/>
          <w:numId w:val="71"/>
        </w:numPr>
        <w:spacing w:before="0" w:after="40"/>
        <w:contextualSpacing/>
        <w:jc w:val="left"/>
        <w:rPr>
          <w:rFonts w:ascii="Arial" w:hAnsi="Arial" w:cs="Arial"/>
          <w:sz w:val="18"/>
          <w:szCs w:val="18"/>
          <w:u w:val="single"/>
        </w:rPr>
      </w:pPr>
      <w:r>
        <w:rPr>
          <w:rFonts w:eastAsia="Arial" w:cs="Arial" w:ascii="Arial" w:hAnsi="Arial"/>
          <w:color w:val="auto"/>
          <w:spacing w:val="0"/>
          <w:w w:val="100"/>
          <w:sz w:val="20"/>
          <w:szCs w:val="20"/>
          <w:lang w:val="ro-RO"/>
        </w:rPr>
        <w:t>Utilizare de întrerupătoare, prize sau instalații electrice defecte;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mediului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în magazin favorizați de deschiderea ușilor (amplasare în zone cu curenți de aer).</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 C.</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 trăsnet, inundație, grindina, surpări de teren, seisme.</w:t>
      </w:r>
    </w:p>
    <w:p>
      <w:pPr>
        <w:pStyle w:val="ListParagraph"/>
        <w:widowControl/>
        <w:numPr>
          <w:ilvl w:val="0"/>
          <w:numId w:val="6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p>
      <w:pPr>
        <w:pStyle w:val="Normal"/>
        <w:widowControl/>
        <w:tabs>
          <w:tab w:val="clear" w:pos="720"/>
          <w:tab w:val="left" w:pos="2700" w:leader="none"/>
        </w:tabs>
        <w:spacing w:before="0" w:after="0"/>
        <w:ind w:left="954"/>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sarcinii de muncă:</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Suprasolicitare fizică</w:t>
      </w:r>
    </w:p>
    <w:p>
      <w:pPr>
        <w:pStyle w:val="Normal"/>
        <w:widowControl/>
        <w:numPr>
          <w:ilvl w:val="0"/>
          <w:numId w:val="6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Variații de temperatura frecvente, determinând posibile răceli.</w:t>
      </w:r>
      <w:bookmarkEnd w:id="8"/>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9" w:name="_Hlk128675498"/>
      <w:r>
        <w:rPr>
          <w:rFonts w:eastAsia="Arial" w:cs="Arial" w:ascii="Arial" w:hAnsi="Arial"/>
          <w:b/>
          <w:color w:val="auto"/>
          <w:spacing w:val="0"/>
          <w:w w:val="100"/>
          <w:sz w:val="20"/>
          <w:szCs w:val="20"/>
          <w:lang w:val="ro-RO"/>
        </w:rPr>
        <w:t>III. FIȘA DE EVALUARE A LOCULUI DE MUNCĂ: GELATERIE</w:t>
      </w:r>
      <w:r>
        <w:rPr>
          <w:rFonts w:eastAsia="Arial" w:cs="Arial" w:ascii="Arial" w:hAnsi="Arial"/>
          <w:b/>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pPr w:vertAnchor="text" w:horzAnchor="text" w:leftFromText="180" w:rightFromText="180" w:tblpX="108" w:tblpY="1"/>
        <w:tblW w:w="10507" w:type="dxa"/>
        <w:jc w:val="left"/>
        <w:tblInd w:w="108" w:type="dxa"/>
        <w:tblLayout w:type="fixed"/>
        <w:tblCellMar>
          <w:top w:w="0" w:type="dxa"/>
          <w:left w:w="108" w:type="dxa"/>
          <w:bottom w:w="0" w:type="dxa"/>
          <w:right w:w="108" w:type="dxa"/>
        </w:tblCellMar>
        <w:tblLook w:noHBand="0" w:noVBand="1" w:firstColumn="1" w:lastRow="0" w:lastColumn="0" w:firstRow="1" w:val="04a0"/>
      </w:tblPr>
      <w:tblGrid>
        <w:gridCol w:w="1381"/>
        <w:gridCol w:w="1283"/>
        <w:gridCol w:w="3706"/>
        <w:gridCol w:w="15"/>
        <w:gridCol w:w="1214"/>
        <w:gridCol w:w="17"/>
        <w:gridCol w:w="1070"/>
        <w:gridCol w:w="13"/>
        <w:gridCol w:w="438"/>
        <w:gridCol w:w="536"/>
        <w:gridCol w:w="15"/>
        <w:gridCol w:w="803"/>
        <w:gridCol w:w="16"/>
      </w:tblGrid>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72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752" w:type="dxa"/>
            <w:gridSpan w:val="5"/>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70" w:type="dxa"/>
            <w:gridSpan w:val="4"/>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Min 3 persoane</w:t>
            </w:r>
          </w:p>
        </w:tc>
      </w:tr>
      <w:tr>
        <w:trPr>
          <w:trHeight w:val="268"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{{client.legalName}}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Heading1"/>
              <w:keepNext w:val="false"/>
              <w:widowControl w:val="false"/>
              <w:tabs>
                <w:tab w:val="clear" w:pos="720"/>
                <w:tab w:val="left" w:pos="360" w:leader="none"/>
              </w:tabs>
              <w:rPr>
                <w:sz w:val="18"/>
                <w:szCs w:val="18"/>
                <w:lang w:val="ro-RO"/>
              </w:rPr>
            </w:pPr>
            <w:r>
              <w:rPr>
                <w:sz w:val="18"/>
                <w:szCs w:val="18"/>
                <w:lang w:val="ro-RO"/>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sz w:val="18"/>
                <w:szCs w:val="18"/>
              </w:rPr>
            </w:pPr>
            <w:r>
              <w:rPr>
                <w:rFonts w:cs="Arial" w:ascii="Arial" w:hAnsi="Arial"/>
                <w:sz w:val="18"/>
                <w:szCs w:val="18"/>
              </w:rPr>
            </w:r>
          </w:p>
        </w:tc>
      </w:tr>
      <w:tr>
        <w:trPr>
          <w:trHeight w:val="18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70" w:type="dxa"/>
            <w:gridSpan w:val="4"/>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h / schimb</w:t>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color w:val="auto"/>
                <w:spacing w:val="0"/>
                <w:w w:val="100"/>
                <w:sz w:val="16"/>
                <w:szCs w:val="16"/>
                <w:lang w:val="ro-RO"/>
              </w:rPr>
              <w:t>GELATERIE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6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es-ES_tradnl"/>
              </w:rPr>
            </w:pPr>
            <w:r>
              <w:rPr>
                <w:rFonts w:eastAsia="Arial" w:cs="Arial" w:ascii="Arial" w:hAnsi="Arial"/>
                <w:color w:val="auto"/>
                <w:spacing w:val="0"/>
                <w:w w:val="100"/>
                <w:sz w:val="16"/>
                <w:szCs w:val="16"/>
                <w:lang w:val="ro-RO"/>
              </w:rPr>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VIZITATOR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7"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60"/>
              <w:jc w:val="center"/>
              <w:rPr>
                <w:rFonts w:ascii="Arial" w:hAnsi="Arial" w:cs="Arial"/>
                <w:b/>
                <w:sz w:val="18"/>
                <w:szCs w:val="18"/>
              </w:rPr>
            </w:pPr>
            <w:r>
              <w:rPr>
                <w:rFonts w:eastAsia="Arial" w:cs="Arial" w:ascii="Arial" w:hAnsi="Arial"/>
                <w:b/>
                <w:color w:val="auto"/>
                <w:spacing w:val="0"/>
                <w:w w:val="100"/>
                <w:sz w:val="16"/>
                <w:szCs w:val="16"/>
                <w:lang w:val="ro-RO"/>
              </w:rPr>
              <w:t>COMPONENTA SISTEMULUI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PREVIZIBILĂ</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201" w:right="-154"/>
              <w:jc w:val="center"/>
              <w:rPr>
                <w:rFonts w:ascii="Arial" w:hAnsi="Arial" w:cs="Arial"/>
                <w:b/>
                <w:sz w:val="18"/>
                <w:szCs w:val="18"/>
              </w:rPr>
            </w:pPr>
            <w:r>
              <w:rPr>
                <w:rFonts w:eastAsia="Arial" w:cs="Arial" w:ascii="Arial" w:hAnsi="Arial"/>
                <w:b/>
                <w:color w:val="auto"/>
                <w:spacing w:val="0"/>
                <w:w w:val="100"/>
                <w:sz w:val="16"/>
                <w:szCs w:val="16"/>
                <w:lang w:val="ro-RO"/>
              </w:rPr>
              <w:t>CLASA DE GRAVITATE</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62" w:right="-120"/>
              <w:jc w:val="center"/>
              <w:rPr>
                <w:rFonts w:ascii="Arial" w:hAnsi="Arial" w:cs="Arial"/>
                <w:b/>
                <w:sz w:val="18"/>
                <w:szCs w:val="18"/>
              </w:rPr>
            </w:pPr>
            <w:r>
              <w:rPr>
                <w:rFonts w:eastAsia="Arial" w:cs="Arial" w:ascii="Arial" w:hAnsi="Arial"/>
                <w:b/>
                <w:color w:val="auto"/>
                <w:spacing w:val="0"/>
                <w:w w:val="100"/>
                <w:sz w:val="16"/>
                <w:szCs w:val="16"/>
                <w:lang w:val="ro-RO"/>
              </w:rPr>
              <w:t>CLASA DE PROBABI-LITATE</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142"/>
              <w:jc w:val="center"/>
              <w:rPr>
                <w:rFonts w:ascii="Arial" w:hAnsi="Arial" w:cs="Arial"/>
                <w:b/>
                <w:sz w:val="18"/>
                <w:szCs w:val="18"/>
              </w:rPr>
            </w:pPr>
            <w:r>
              <w:rPr>
                <w:rFonts w:eastAsia="Arial" w:cs="Arial" w:ascii="Arial" w:hAnsi="Arial"/>
                <w:b/>
                <w:color w:val="auto"/>
                <w:spacing w:val="0"/>
                <w:w w:val="100"/>
                <w:sz w:val="16"/>
                <w:szCs w:val="16"/>
                <w:lang w:val="ro-RO"/>
              </w:rPr>
              <w:t>NIVEL DE RISC</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44"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MIJLOACE DE PRODUCȚIE</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mecanic</w:t>
            </w:r>
          </w:p>
        </w:tc>
        <w:tc>
          <w:tcPr>
            <w:tcW w:w="370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Prindere membre superioare și inferioare în uși;</w:t>
            </w:r>
          </w:p>
        </w:tc>
        <w:tc>
          <w:tcPr>
            <w:tcW w:w="122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6" w:type="dxa"/>
            <w:tcBorders/>
          </w:tcPr>
          <w:p>
            <w:pPr>
              <w:pStyle w:val="Normal"/>
              <w:widowControl/>
              <w:spacing w:lineRule="atLeast" w:line="0" w:before="0" w:after="0"/>
              <w:rPr>
                <w:sz w:val="2"/>
              </w:rPr>
            </w:pPr>
            <w:r>
              <w:rPr>
                <w:rFonts w:eastAsia="Arial" w:cs="Arial" w:ascii="Arial" w:hAnsi="Arial"/>
                <w:color w:val="auto"/>
                <w:spacing w:val="0"/>
                <w:w w:val="100"/>
                <w:sz w:val="16"/>
                <w:szCs w:val="16"/>
                <w:lang w:val="ro-RO"/>
              </w:rPr>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Tăiere, înțepare al contactul cu suprafețe tăioase;</w:t>
            </w:r>
          </w:p>
          <w:p>
            <w:pPr>
              <w:pStyle w:val="Normal"/>
              <w:widowControl/>
              <w:tabs>
                <w:tab w:val="left" w:pos="72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electric</w:t>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u w:val="single"/>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Utilizare de întrerupătoare, prize sau instalații electrice defecte;</w:t>
            </w:r>
          </w:p>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MEDIUL DE MUNCĂ</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F4.</w:t>
            </w:r>
            <w:r>
              <w:rPr>
                <w:rFonts w:eastAsia="Arial" w:cs="Arial" w:ascii="Arial" w:hAnsi="Arial"/>
                <w:color w:val="auto"/>
                <w:spacing w:val="0"/>
                <w:w w:val="100"/>
                <w:sz w:val="16"/>
                <w:szCs w:val="16"/>
                <w:lang w:val="ro-RO"/>
              </w:rPr>
              <w:t xml:space="preserve"> Temperatura exterioară scăzută iarna ( sub 0 ° C) și ridicată vara ( peste 30°C), trasee de circulație cu diferențe de temperaturi de peste 15 gr C</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Curenți de aer</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 xml:space="preserve">F6. </w:t>
            </w:r>
            <w:r>
              <w:rPr>
                <w:rFonts w:eastAsia="Arial" w:cs="Arial" w:ascii="Arial" w:hAnsi="Arial"/>
                <w:color w:val="auto"/>
                <w:spacing w:val="0"/>
                <w:w w:val="100"/>
                <w:sz w:val="16"/>
                <w:szCs w:val="16"/>
                <w:lang w:val="ro-RO"/>
              </w:rPr>
              <w:t>Calamități naturale - trăsnet, inundație, grindina, surpări de teren, seisme</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F7. </w:t>
            </w:r>
            <w:r>
              <w:rPr>
                <w:rFonts w:eastAsia="Arial" w:cs="Arial" w:ascii="Arial" w:hAnsi="Arial"/>
                <w:color w:val="auto"/>
                <w:spacing w:val="0"/>
                <w:w w:val="100"/>
                <w:sz w:val="16"/>
                <w:szCs w:val="16"/>
                <w:lang w:val="ro-RO"/>
              </w:rPr>
              <w:t>Surprindere și accidentare prin căderi de materiale de la înălțime ( care nu au legătură cu echipamentele din magazin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EXECUTANT</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Alunecări, împiedicări la același nivel cauzate de neatenția vizitatorului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Intervenții necorespunzătoare în caz de început de incendiu ( staționări în locuri interzise pe timpul intervențiilor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F10. </w:t>
            </w:r>
            <w:r>
              <w:rPr>
                <w:rFonts w:eastAsia="Arial" w:cs="Arial" w:ascii="Arial" w:hAnsi="Arial"/>
                <w:color w:val="auto"/>
                <w:spacing w:val="0"/>
                <w:w w:val="100"/>
                <w:sz w:val="16"/>
                <w:szCs w:val="16"/>
                <w:lang w:val="ro-RO"/>
              </w:rPr>
              <w:t>Prezentarea în magazin în condiții necorespunzătoare ( oboseala, boala sau sub influența alcoolului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SARCINA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Variații de temperatura frecvente, determinând posibile răceli.</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IV. FIȘA DE MĂSURI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PROPUSE LOCULUI DE MUNCĂ :GELATERIE, POSTUL DE LUCRU: VIZITATOR</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36"/>
        <w:gridCol w:w="2705"/>
        <w:gridCol w:w="855"/>
        <w:gridCol w:w="5259"/>
      </w:tblGrid>
      <w:tr>
        <w:trPr>
          <w:tblHeader w:val="true"/>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u w:val="single"/>
              </w:rPr>
            </w:pPr>
            <w:r>
              <w:rPr>
                <w:rFonts w:eastAsia="Arial" w:cs="Arial" w:ascii="Arial" w:hAnsi="Arial"/>
                <w:b/>
                <w:color w:val="auto"/>
                <w:spacing w:val="0"/>
                <w:w w:val="100"/>
                <w:sz w:val="20"/>
                <w:szCs w:val="20"/>
                <w:lang w:val="ro-RO"/>
              </w:rPr>
              <w:t>F3.</w:t>
            </w:r>
            <w:r>
              <w:rPr>
                <w:rFonts w:eastAsia="Arial" w:cs="Arial" w:ascii="Arial" w:hAnsi="Arial"/>
                <w:color w:val="auto"/>
                <w:spacing w:val="0"/>
                <w:w w:val="100"/>
                <w:sz w:val="20"/>
                <w:szCs w:val="20"/>
                <w:lang w:val="ro-RO"/>
              </w:rPr>
              <w:t>Utilizare de întrerupătoare, prize sau instalații electrice defecte;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instalației electrice de împământare (Buletine de verificare P.R.A.M.) de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20"/>
                <w:szCs w:val="20"/>
                <w:lang w:val="ro-RO"/>
              </w:rPr>
              <w:t>F6.</w:t>
            </w:r>
            <w:r>
              <w:rPr>
                <w:rFonts w:eastAsia="Arial" w:cs="Arial" w:ascii="Arial" w:hAnsi="Arial"/>
                <w:color w:val="auto"/>
                <w:spacing w:val="0"/>
                <w:w w:val="100"/>
                <w:sz w:val="20"/>
                <w:szCs w:val="20"/>
                <w:lang w:val="ro-RO"/>
              </w:rPr>
              <w:t>Calamități naturale, trăsnet, inundație, grindina, surpări de teren, seisme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Respectarea planului de intervenție pentru situații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Efectuarea de simulări de acțiuni în caz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Dotarea cu materiale PSI.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F7. </w:t>
            </w: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F9.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 de intervenții.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 INTERPRETAREA REZULTATELOR EVALUĂRII</w:t>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850"/>
        <w:gridCol w:w="682"/>
        <w:gridCol w:w="5982"/>
        <w:gridCol w:w="1841"/>
      </w:tblGrid>
      <w:tr>
        <w:trPr>
          <w:tblHeader w:val="true"/>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CONCRETA DE MANIFESTARE A FACTORILOR DE RISC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Utilizare de întrerupătoare, prize sau instalații electrice defecte;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F6</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u w:val="single"/>
              </w:rPr>
            </w:pPr>
            <w:r>
              <w:rPr>
                <w:rFonts w:eastAsia="Arial" w:cs="Arial" w:ascii="Arial" w:hAnsi="Arial"/>
                <w:color w:val="auto"/>
                <w:spacing w:val="0"/>
                <w:w w:val="100"/>
                <w:sz w:val="20"/>
                <w:szCs w:val="20"/>
                <w:lang w:val="ro-RO"/>
              </w:rPr>
              <w:t>Calamități naturale, trăsnet, inundație, grindina, surpări de teren, seisme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F7</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F9</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F4</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gr 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F5</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Curenți de aer</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F8</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Variații de temperatura frecvente, determinând posibile răceli..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V.II.I. NIVELURILE PARȚIALE DE RISC PENTRU FACTORII DE RISC </w:t>
      </w:r>
      <w:r>
        <w:rPr>
          <w:rFonts w:eastAsia="Arial" w:cs="Arial" w:ascii="Arial" w:hAnsi="Arial"/>
          <w:b/>
          <w:color w:val="auto"/>
          <w:spacing w:val="0"/>
          <w:w w:val="100"/>
          <w:sz w:val="20"/>
          <w:szCs w:val="20"/>
          <w:lang w:val="ro-RO"/>
        </w:rPr>
        <w:t>PENTRU LOCUL DE MUNCĂ: GELATERIE</w:t>
      </w:r>
      <w:r>
        <w:rPr>
          <w:rFonts w:eastAsia="Arial" w:cs="Arial" w:ascii="Arial" w:hAnsi="Arial"/>
          <w:b/>
          <w:color w:val="auto"/>
          <w:spacing w:val="0"/>
          <w:w w:val="100"/>
          <w:sz w:val="20"/>
          <w:szCs w:val="20"/>
          <w:lang w:val="ro-RO"/>
        </w:rPr>
        <w:t>; POSTUL DE LUCRU: VIZITATOR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4311650" cy="1752600"/>
            <wp:effectExtent l="0" t="0" r="0" b="0"/>
            <wp:docPr id="25"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LA LOCUL DE MUNCĂ: GELATERIE;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num>
            <m:den>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den>
          </m:f>
          <m:r>
            <w:rPr>
              <w:rFonts w:ascii="Cambria Math" w:hAnsi="Cambria Math"/>
            </w:rPr>
            <m:t xml:space="preserve">=</m:t>
          </m:r>
          <m:f>
            <m:num>
              <m:r>
                <w:rPr>
                  <w:rFonts w:ascii="Cambria Math" w:hAnsi="Cambria Math"/>
                </w:rPr>
                <m:t xml:space="preserve">64</m:t>
              </m:r>
            </m:num>
            <m:den>
              <m:r>
                <w:rPr>
                  <w:rFonts w:ascii="Cambria Math" w:hAnsi="Cambria Math"/>
                </w:rPr>
                <m:t xml:space="preserve">26</m:t>
              </m:r>
            </m:den>
          </m:f>
          <m:r>
            <w:rPr>
              <w:rFonts w:ascii="Cambria Math" w:hAnsi="Cambria Math"/>
            </w:rPr>
            <m:t xml:space="preserve">=</m:t>
          </m:r>
          <m:r>
            <w:rPr>
              <w:rFonts w:ascii="Cambria Math" w:hAnsi="Cambria Math"/>
            </w:rPr>
            <m:t xml:space="preserve">2,46</m:t>
          </m:r>
        </m:oMath>
      </m:oMathPara>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global calculat pentru locul de muncă „VIZITATOR” este egal cu 2,46 valoare ce îl încadrează în categoria locurilor de muncă cu nivel de risc scăzut, nedepasind limita maximă acceptată de 3,5..</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este susținut de „Fișa de evaluare”, din care se observă că din totalul de 11 factori de risc identificați, 4 factori au valoare 3, încadrându-se în categoria factorilor de risc mare.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color w:val="000000"/>
          <w:sz w:val="18"/>
          <w:szCs w:val="18"/>
        </w:rPr>
      </w:pPr>
      <w:r>
        <w:rPr>
          <w:rFonts w:eastAsia="Arial" w:cs="Arial" w:ascii="Arial" w:hAnsi="Arial"/>
          <w:color w:val="auto"/>
          <w:spacing w:val="0"/>
          <w:w w:val="100"/>
          <w:sz w:val="20"/>
          <w:szCs w:val="20"/>
          <w:lang w:val="ro-RO"/>
        </w:rPr>
        <w:t>Cei 4 factori de risc ce se situează în domeniul inacceptabil sunt:</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color w:val="auto"/>
          <w:spacing w:val="0"/>
          <w:w w:val="100"/>
          <w:sz w:val="20"/>
          <w:szCs w:val="20"/>
          <w:lang w:val="ro-RO"/>
        </w:rPr>
        <w:t>F3</w:t>
      </w:r>
      <w:r>
        <w:rPr>
          <w:rFonts w:eastAsia="Arial" w:cs="Arial" w:ascii="Arial" w:hAnsi="Arial"/>
          <w:bCs/>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Utilizare de întrerupătoare, prize sau instalații electrice de iluminat defecte;</w:t>
      </w:r>
    </w:p>
    <w:p>
      <w:pPr>
        <w:pStyle w:val="Normal"/>
        <w:widowControl/>
        <w:numPr>
          <w:ilvl w:val="0"/>
          <w:numId w:val="74"/>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Calamități natural- trăsnet, inundație, grindina, surpări de teren, seisme.</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bCs/>
          <w:color w:val="auto"/>
          <w:spacing w:val="0"/>
          <w:w w:val="100"/>
          <w:sz w:val="20"/>
          <w:szCs w:val="20"/>
          <w:lang w:val="ro-RO"/>
        </w:rPr>
        <w:t>F7</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Surprindere și accidentare prin căderi de materiale de la înălțime ( care nu au legătură cu echipamentele din magazin );</w:t>
      </w:r>
    </w:p>
    <w:p>
      <w:pPr>
        <w:pStyle w:val="Normal"/>
        <w:widowControl/>
        <w:numPr>
          <w:ilvl w:val="0"/>
          <w:numId w:val="73"/>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mijloacelor de producție</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36,36 % factori proprii factori de risc proprii mediului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9,10 % factori proprii factori de risc proprii sarcinii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 se constată că 4 dintre factorii de risc identificați reprezentând 36,36 % pot avea consecințe ireversibile asupra executantului (deces sau invaliditate), dar, datorită frecventei mici de producere a acestora locul de muncă poate fi încadrat printre cele cu pericol minim de accidentare.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PONDEREA FACTORILOR DE RISC IDENTIFICAȚI DUPĂ ELEMENTELE SISTEMULUI DE MUNCĂ, PENTRU LOCUL DE MUNCĂ: GELATERIE, 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0"/>
          <w:szCs w:val="20"/>
        </w:rPr>
      </w:pPr>
      <w:r>
        <w:rPr>
          <w:rFonts w:eastAsia="Arial" w:cs="Arial" w:ascii="Arial" w:hAnsi="Arial"/>
          <w:color w:val="auto"/>
          <w:spacing w:val="0"/>
          <w:w w:val="100"/>
          <w:sz w:val="2"/>
          <w:szCs w:val="20"/>
          <w:lang w:val="ro-RO"/>
        </w:rPr>
        <w:drawing>
          <wp:inline distT="0" distB="0" distL="0" distR="0">
            <wp:extent cx="4711700" cy="1905000"/>
            <wp:effectExtent l="0" t="0" r="0" b="0"/>
            <wp:docPr id="26"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bookmarkEnd w:id="9"/>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VI.CONCLUZII GENERALE</w:t>
      </w:r>
    </w:p>
    <w:p>
      <w:pPr>
        <w:pStyle w:val="Normal"/>
        <w:keepNext w:val="true"/>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keepNext w:val="true"/>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sanatete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Specificam ca, în cadrul unității dumneavoastră (conform declarației date de angajator ), nu au fost înregistrate evenimente de acest gen.</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functionarea optima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diferenta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existența la data evaluării (metode de lucru, personal existent, dotare, condiții de mediu, dotare tehnică, istoric evenimente, etc.).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fata conține evaluarea riscurilor de accidentare și îmbolnăvire profesională pentru 5 posturi de muncă din cadrul {{client.legalName}} identificat și evaluat în conformitate cu prevederile legale.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I.N.C.D.P.M.de evaluare a riscurilor de accidentare și îmbolnăvire profesională pe loc de muncă avizată de Ministerul Muncii și Solidarității Sociale în anul 1993.</w:t>
      </w:r>
    </w:p>
    <w:p>
      <w:pPr>
        <w:pStyle w:val="Normal"/>
        <w:keepNext w:val="true"/>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SubcapitoluL VI.II. RECOMANDARI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LOCUL DE MUNCĂ: GELATERIE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imbolnavireprofesionala atât propria persoană, cât și pe celelalte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 locului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cateroriile de salariați corespunzător activității desfășurate;</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true"/>
        <w:widowControl/>
        <w:numPr>
          <w:ilvl w:val="0"/>
          <w:numId w:val="39"/>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IERARHIZAREA LOCURILOR DE MUNCĂ ÎN FUNCȚIE DE NIVELURILE DE RISC</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13" w:type="dxa"/>
        <w:tblLayout w:type="fixed"/>
        <w:tblCellMar>
          <w:top w:w="17" w:type="dxa"/>
          <w:left w:w="108" w:type="dxa"/>
          <w:bottom w:w="17" w:type="dxa"/>
          <w:right w:w="108" w:type="dxa"/>
        </w:tblCellMar>
        <w:tblLook w:noHBand="0" w:noVBand="1" w:firstColumn="1" w:lastRow="0" w:lastColumn="0" w:firstRow="1" w:val="04a0"/>
      </w:tblPr>
      <w:tblGrid>
        <w:gridCol w:w="669"/>
        <w:gridCol w:w="6594"/>
        <w:gridCol w:w="2092"/>
      </w:tblGrid>
      <w:tr>
        <w:trPr>
          <w:tblHeader w:val="true"/>
          <w:trHeight w:val="620"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Nr.crt</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DENUMIREA POSTULUI DE MUNCĂ</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Nivelul de risc</w:t>
            </w:r>
          </w:p>
        </w:tc>
      </w:tr>
      <w:tr>
        <w:trPr>
          <w:trHeight w:val="431"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1.</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MANAGER MAGAZIN</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2,40</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594"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GRUPURI SENSIBILE</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VIZITATORI</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2,46</w:t>
            </w:r>
          </w:p>
        </w:tc>
      </w:tr>
    </w:tbl>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calculul nivelului de </w:t>
      </w:r>
      <w:r>
        <w:rPr>
          <w:rFonts w:eastAsia="Arial" w:cs="Arial" w:ascii="Arial" w:hAnsi="Arial"/>
          <w:b/>
          <w:color w:val="auto"/>
          <w:spacing w:val="0"/>
          <w:w w:val="100"/>
          <w:sz w:val="20"/>
          <w:szCs w:val="20"/>
          <w:lang w:val="ro-RO"/>
        </w:rPr>
        <w:t>risc global pe societate</w:t>
      </w:r>
      <w:r>
        <w:rPr>
          <w:rFonts w:eastAsia="Arial" w:cs="Arial" w:ascii="Arial" w:hAnsi="Arial"/>
          <w:color w:val="auto"/>
          <w:spacing w:val="0"/>
          <w:w w:val="100"/>
          <w:sz w:val="20"/>
          <w:szCs w:val="20"/>
          <w:lang w:val="ro-RO"/>
        </w:rPr>
        <w:t>, utilizam următoarea formula matematica:</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r>
            <w:rPr>
              <w:rFonts w:ascii="Cambria Math" w:hAnsi="Cambria Math"/>
            </w:rPr>
            <m:t xml:space="preserve">Nrg</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r>
                    <w:rPr>
                      <w:rFonts w:ascii="Cambria Math" w:hAnsi="Cambria Math"/>
                    </w:rPr>
                    <m:t xml:space="preserve">×</m:t>
                  </m:r>
                  <m:r>
                    <w:rPr>
                      <w:rFonts w:ascii="Cambria Math" w:hAnsi="Cambria Math"/>
                    </w:rPr>
                    <m:t xml:space="preserve">Nrgi</m:t>
                  </m:r>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e>
              </m:nary>
            </m:den>
          </m:f>
          <m:r>
            <w:rPr>
              <w:rFonts w:ascii="Cambria Math" w:hAnsi="Cambria Math"/>
            </w:rPr>
            <m:t xml:space="preserve">=</m:t>
          </m:r>
          <m:f>
            <m:num>
              <m:r>
                <w:rPr>
                  <w:rFonts w:ascii="Cambria Math" w:hAnsi="Cambria Math"/>
                </w:rPr>
                <m:t xml:space="preserve">2,40</m:t>
              </m:r>
              <m:r>
                <w:rPr>
                  <w:rFonts w:ascii="Cambria Math" w:hAnsi="Cambria Math"/>
                </w:rPr>
                <m:t xml:space="preserve">×</m:t>
              </m:r>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r>
                <w:rPr>
                  <w:rFonts w:ascii="Cambria Math" w:hAnsi="Cambria Math"/>
                </w:rPr>
                <m:t xml:space="preserve">×</m:t>
              </m:r>
              <m:r>
                <w:rPr>
                  <w:rFonts w:ascii="Cambria Math" w:hAnsi="Cambria Math"/>
                </w:rPr>
                <m:t xml:space="preserve">2,46</m:t>
              </m:r>
            </m:num>
            <m:den>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den>
          </m:f>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0</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Nrg = 2,50</w:t>
      </w:r>
    </w:p>
    <w:sectPr>
      <w:headerReference w:type="even" r:id="rId36"/>
      <w:headerReference w:type="default" r:id="rId37"/>
      <w:headerReference w:type="first" r:id="rId38"/>
      <w:footerReference w:type="even" r:id="rId39"/>
      <w:footerReference w:type="default" r:id="rId40"/>
      <w:footerReference w:type="first" r:id="rId41"/>
      <w:footnotePr>
        <w:numFmt w:val="decimal"/>
      </w:footnotePr>
      <w:type w:val="nextPage"/>
      <w:pgSz w:w="11906" w:h="16838"/>
      <w:pgMar w:left="1417" w:right="1134" w:gutter="0" w:header="680" w:top="2445" w:footer="680" w:bottom="1134"/>
      <w:pgNumType w:start="2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7">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0">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1">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2">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5">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360"/>
        </w:tabs>
        <w:ind w:left="36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7">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4">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5">
    <w:lvl w:ilvl="0">
      <w:start w:val="1"/>
      <w:numFmt w:val="bullet"/>
      <w:suff w:val="space"/>
      <w:lvlText w:val=""/>
      <w:lvlJc w:val="left"/>
      <w:pPr>
        <w:tabs>
          <w:tab w:val="num" w:pos="0"/>
        </w:tabs>
        <w:ind w:left="0" w:hanging="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88" w:hanging="360"/>
      </w:pPr>
      <w:rPr>
        <w:rFonts w:ascii="Courier New" w:hAnsi="Courier New" w:cs="Courier New" w:hint="default"/>
      </w:rPr>
    </w:lvl>
    <w:lvl w:ilvl="2">
      <w:start w:val="1"/>
      <w:numFmt w:val="bullet"/>
      <w:lvlText w:val=""/>
      <w:lvlJc w:val="left"/>
      <w:pPr>
        <w:tabs>
          <w:tab w:val="num" w:pos="0"/>
        </w:tabs>
        <w:ind w:left="2208" w:hanging="360"/>
      </w:pPr>
      <w:rPr>
        <w:rFonts w:ascii="Wingdings" w:hAnsi="Wingdings" w:cs="Wingdings" w:hint="default"/>
      </w:rPr>
    </w:lvl>
    <w:lvl w:ilvl="3">
      <w:start w:val="1"/>
      <w:numFmt w:val="bullet"/>
      <w:lvlText w:val=""/>
      <w:lvlJc w:val="left"/>
      <w:pPr>
        <w:tabs>
          <w:tab w:val="num" w:pos="0"/>
        </w:tabs>
        <w:ind w:left="2928" w:hanging="360"/>
      </w:pPr>
      <w:rPr>
        <w:rFonts w:ascii="Symbol" w:hAnsi="Symbol" w:cs="Symbol" w:hint="default"/>
      </w:rPr>
    </w:lvl>
    <w:lvl w:ilvl="4">
      <w:start w:val="1"/>
      <w:numFmt w:val="bullet"/>
      <w:lvlText w:val="o"/>
      <w:lvlJc w:val="left"/>
      <w:pPr>
        <w:tabs>
          <w:tab w:val="num" w:pos="0"/>
        </w:tabs>
        <w:ind w:left="3648" w:hanging="360"/>
      </w:pPr>
      <w:rPr>
        <w:rFonts w:ascii="Courier New" w:hAnsi="Courier New" w:cs="Courier New" w:hint="default"/>
      </w:rPr>
    </w:lvl>
    <w:lvl w:ilvl="5">
      <w:start w:val="1"/>
      <w:numFmt w:val="bullet"/>
      <w:lvlText w:val=""/>
      <w:lvlJc w:val="left"/>
      <w:pPr>
        <w:tabs>
          <w:tab w:val="num" w:pos="0"/>
        </w:tabs>
        <w:ind w:left="4368" w:hanging="360"/>
      </w:pPr>
      <w:rPr>
        <w:rFonts w:ascii="Wingdings" w:hAnsi="Wingdings" w:cs="Wingdings" w:hint="default"/>
      </w:rPr>
    </w:lvl>
    <w:lvl w:ilvl="6">
      <w:start w:val="1"/>
      <w:numFmt w:val="bullet"/>
      <w:lvlText w:val=""/>
      <w:lvlJc w:val="left"/>
      <w:pPr>
        <w:tabs>
          <w:tab w:val="num" w:pos="0"/>
        </w:tabs>
        <w:ind w:left="5088" w:hanging="360"/>
      </w:pPr>
      <w:rPr>
        <w:rFonts w:ascii="Symbol" w:hAnsi="Symbol" w:cs="Symbol" w:hint="default"/>
      </w:rPr>
    </w:lvl>
    <w:lvl w:ilvl="7">
      <w:start w:val="1"/>
      <w:numFmt w:val="bullet"/>
      <w:lvlText w:val="o"/>
      <w:lvlJc w:val="left"/>
      <w:pPr>
        <w:tabs>
          <w:tab w:val="num" w:pos="0"/>
        </w:tabs>
        <w:ind w:left="5808" w:hanging="360"/>
      </w:pPr>
      <w:rPr>
        <w:rFonts w:ascii="Courier New" w:hAnsi="Courier New" w:cs="Courier New" w:hint="default"/>
      </w:rPr>
    </w:lvl>
    <w:lvl w:ilvl="8">
      <w:start w:val="1"/>
      <w:numFmt w:val="bullet"/>
      <w:lvlText w:val=""/>
      <w:lvlJc w:val="left"/>
      <w:pPr>
        <w:tabs>
          <w:tab w:val="num" w:pos="0"/>
        </w:tabs>
        <w:ind w:left="6528" w:hanging="360"/>
      </w:pPr>
      <w:rPr>
        <w:rFonts w:ascii="Wingdings" w:hAnsi="Wingdings" w:cs="Wingdings" w:hint="default"/>
      </w:r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user">
    <w:name w:val="Footnote Characters (user)"/>
    <w:semiHidden/>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Charactersuser">
    <w:name w:val="Endnote Characters (user)"/>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user">
    <w:name w:val="Frame Contents (user)"/>
    <w:basedOn w:val="Normal"/>
    <w:pPr/>
    <w:rPr/>
  </w:style>
  <w:style w:type="paragraph" w:styleId="HeaderLeftuser">
    <w:name w:val="Header Left (user)"/>
    <w:basedOn w:val="Header"/>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chart" Target="charts/chart1.xml"/><Relationship Id="rId27" Type="http://schemas.openxmlformats.org/officeDocument/2006/relationships/chart" Target="charts/chart2.xml"/><Relationship Id="rId28" Type="http://schemas.openxmlformats.org/officeDocument/2006/relationships/chart" Target="charts/chart3.xml"/><Relationship Id="rId29" Type="http://schemas.openxmlformats.org/officeDocument/2006/relationships/chart" Target="charts/chart4.xml"/><Relationship Id="rId30" Type="http://schemas.openxmlformats.org/officeDocument/2006/relationships/chart" Target="charts/chart5.xml"/><Relationship Id="rId31" Type="http://schemas.openxmlformats.org/officeDocument/2006/relationships/chart" Target="charts/chart6.xml"/><Relationship Id="rId32" Type="http://schemas.openxmlformats.org/officeDocument/2006/relationships/chart" Target="charts/chart7.xml"/><Relationship Id="rId33" Type="http://schemas.openxmlformats.org/officeDocument/2006/relationships/chart" Target="charts/chart8.xml"/><Relationship Id="rId34" Type="http://schemas.openxmlformats.org/officeDocument/2006/relationships/chart" Target="charts/chart9.xml"/><Relationship Id="rId35" Type="http://schemas.openxmlformats.org/officeDocument/2006/relationships/chart" Target="charts/chart10.xml"/><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footnotes" Target="footnotes.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3.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4.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5.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6.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7.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8.xml.rels><?xml version="1.0" encoding="UTF-8"?>
<Relationships xmlns="http://schemas.openxmlformats.org/package/2006/relationships"><Relationship Id="rId1" Type="http://schemas.openxmlformats.org/officeDocument/2006/relationships/package" Target="../embeddings/Microsoft_Excel_Worksheet7.xlsx"/>
</Relationships>
</file>

<file path=word/charts/_rels/chart9.xml.rels><?xml version="1.0" encoding="UTF-8"?>
<Relationships xmlns="http://schemas.openxmlformats.org/package/2006/relationships"><Relationship Id="rId1" Type="http://schemas.openxmlformats.org/officeDocument/2006/relationships/package" Target="../embeddings/Microsoft_Excel_Worksheet8.xlsx"/>
</Relationships>
</file>

<file path=word/charts/_rels/chart10.xml.rels><?xml version="1.0" encoding="UTF-8"?>
<Relationships xmlns="http://schemas.openxmlformats.org/package/2006/relationships"><Relationship Id="rId1" Type="http://schemas.openxmlformats.org/officeDocument/2006/relationships/package" Target="../embeddings/Microsoft_Excel_Worksheet9.xlsx"/>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0</c:f>
              <c:numCache>
                <c:formatCode>General</c:formatCode>
                <c:ptCount val="37"/>
                <c:pt idx="0">
                  <c:v>1</c:v>
                </c:pt>
                <c:pt idx="1">
                  <c:v>1</c:v>
                </c:pt>
                <c:pt idx="2">
                  <c:v>2</c:v>
                </c:pt>
                <c:pt idx="3">
                  <c:v>3</c:v>
                </c:pt>
                <c:pt idx="4">
                  <c:v>2</c:v>
                </c:pt>
                <c:pt idx="5">
                  <c:v>3</c:v>
                </c:pt>
                <c:pt idx="6">
                  <c:v>2</c:v>
                </c:pt>
                <c:pt idx="7">
                  <c:v>3</c:v>
                </c:pt>
                <c:pt idx="8">
                  <c:v>4</c:v>
                </c:pt>
                <c:pt idx="9">
                  <c:v>1</c:v>
                </c:pt>
                <c:pt idx="10">
                  <c:v>1</c:v>
                </c:pt>
                <c:pt idx="11">
                  <c:v>1</c:v>
                </c:pt>
                <c:pt idx="12">
                  <c:v>2</c:v>
                </c:pt>
                <c:pt idx="13">
                  <c:v>1</c:v>
                </c:pt>
                <c:pt idx="14">
                  <c:v>2</c:v>
                </c:pt>
                <c:pt idx="15">
                  <c:v>3</c:v>
                </c:pt>
                <c:pt idx="16">
                  <c:v>3</c:v>
                </c:pt>
                <c:pt idx="17">
                  <c:v>3</c:v>
                </c:pt>
                <c:pt idx="18">
                  <c:v>2</c:v>
                </c:pt>
                <c:pt idx="19">
                  <c:v>2</c:v>
                </c:pt>
                <c:pt idx="20">
                  <c:v>1</c:v>
                </c:pt>
                <c:pt idx="21">
                  <c:v>2</c:v>
                </c:pt>
                <c:pt idx="22">
                  <c:v>2</c:v>
                </c:pt>
                <c:pt idx="23">
                  <c:v>4</c:v>
                </c:pt>
                <c:pt idx="24">
                  <c:v>1</c:v>
                </c:pt>
                <c:pt idx="25">
                  <c:v>2</c:v>
                </c:pt>
                <c:pt idx="26">
                  <c:v>2</c:v>
                </c:pt>
                <c:pt idx="27">
                  <c:v>3</c:v>
                </c:pt>
                <c:pt idx="28">
                  <c:v>3</c:v>
                </c:pt>
                <c:pt idx="29">
                  <c:v>2</c:v>
                </c:pt>
                <c:pt idx="30">
                  <c:v>2</c:v>
                </c:pt>
                <c:pt idx="31">
                  <c:v>2</c:v>
                </c:pt>
                <c:pt idx="32">
                  <c:v>2</c:v>
                </c:pt>
                <c:pt idx="33">
                  <c:v>2</c:v>
                </c:pt>
                <c:pt idx="34">
                  <c:v>1</c:v>
                </c:pt>
                <c:pt idx="35">
                  <c:v>2</c:v>
                </c:pt>
                <c:pt idx="36">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1</c:f>
              <c:numCache>
                <c:formatCode>General</c:formatCode>
                <c:ptCount val="37"/>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2</c:f>
              <c:numCache>
                <c:formatCode>General</c:formatCode>
                <c:ptCount val="37"/>
              </c:numCache>
            </c:numRef>
          </c:val>
        </c:ser>
        <c:gapWidth val="100"/>
        <c:overlap val="-24"/>
        <c:axId val="2643353"/>
        <c:axId val="26752406"/>
      </c:barChart>
      <c:catAx>
        <c:axId val="2643353"/>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26752406"/>
        <c:crosses val="autoZero"/>
        <c:auto val="1"/>
        <c:lblAlgn val="ctr"/>
        <c:lblOffset val="100"/>
        <c:noMultiLvlLbl val="0"/>
      </c:catAx>
      <c:valAx>
        <c:axId val="26752406"/>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2643353"/>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executantului
35.14 %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sarcinii de munca
16.22 %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24.32</c:v>
                </c:pt>
                <c:pt idx="1">
                  <c:v>24.32</c:v>
                </c:pt>
                <c:pt idx="2">
                  <c:v>35.14</c:v>
                </c:pt>
                <c:pt idx="3">
                  <c:v>16.22</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17925328"/>
        <c:axId val="95572099"/>
      </c:barChart>
      <c:catAx>
        <c:axId val="1792532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95572099"/>
        <c:crosses val="autoZero"/>
        <c:auto val="1"/>
        <c:lblAlgn val="ctr"/>
        <c:lblOffset val="100"/>
        <c:noMultiLvlLbl val="0"/>
      </c:catAx>
      <c:valAx>
        <c:axId val="95572099"/>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1792532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31733872"/>
        <c:axId val="18581924"/>
      </c:barChart>
      <c:catAx>
        <c:axId val="31733872"/>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18581924"/>
        <c:crosses val="autoZero"/>
        <c:auto val="1"/>
        <c:lblAlgn val="ctr"/>
        <c:lblOffset val="100"/>
        <c:noMultiLvlLbl val="0"/>
      </c:catAx>
      <c:valAx>
        <c:axId val="18581924"/>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31733872"/>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5103468"/>
        <c:axId val="84419198"/>
      </c:barChart>
      <c:catAx>
        <c:axId val="510346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84419198"/>
        <c:crosses val="autoZero"/>
        <c:auto val="1"/>
        <c:lblAlgn val="ctr"/>
        <c:lblOffset val="100"/>
        <c:noMultiLvlLbl val="0"/>
      </c:catAx>
      <c:valAx>
        <c:axId val="84419198"/>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510346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solidFill>
              <a:srgbClr val="4472C4"/>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0</c:f>
              <c:numCache>
                <c:formatCode>General</c:formatCode>
                <c:ptCount val="11"/>
                <c:pt idx="0">
                  <c:v>2</c:v>
                </c:pt>
                <c:pt idx="1">
                  <c:v>2</c:v>
                </c:pt>
                <c:pt idx="2">
                  <c:v>3</c:v>
                </c:pt>
                <c:pt idx="3">
                  <c:v>2</c:v>
                </c:pt>
                <c:pt idx="4">
                  <c:v>2</c:v>
                </c:pt>
                <c:pt idx="5">
                  <c:v>3</c:v>
                </c:pt>
                <c:pt idx="6">
                  <c:v>3</c:v>
                </c:pt>
                <c:pt idx="7">
                  <c:v>2</c:v>
                </c:pt>
                <c:pt idx="8">
                  <c:v>3</c:v>
                </c:pt>
                <c:pt idx="9">
                  <c:v>2</c:v>
                </c:pt>
                <c:pt idx="10">
                  <c:v>2</c:v>
                </c:pt>
              </c:numCache>
            </c:numRef>
          </c:val>
        </c:ser>
        <c:ser>
          <c:idx val="1"/>
          <c:order val="1"/>
          <c:tx>
            <c:strRef>
              <c:f>label 1</c:f>
              <c:strCache>
                <c:ptCount val="1"/>
                <c:pt idx="0">
                  <c:v>Series 2</c:v>
                </c:pt>
              </c:strCache>
            </c:strRef>
          </c:tx>
          <c:spPr>
            <a:solidFill>
              <a:srgbClr val="ED7D31"/>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1</c:f>
              <c:numCache>
                <c:formatCode>General</c:formatCode>
                <c:ptCount val="11"/>
              </c:numCache>
            </c:numRef>
          </c:val>
        </c:ser>
        <c:ser>
          <c:idx val="2"/>
          <c:order val="2"/>
          <c:tx>
            <c:strRef>
              <c:f>label 2</c:f>
              <c:strCache>
                <c:ptCount val="1"/>
                <c:pt idx="0">
                  <c:v>Series 3</c:v>
                </c:pt>
              </c:strCache>
            </c:strRef>
          </c:tx>
          <c:spPr>
            <a:solidFill>
              <a:srgbClr val="A5A5A5"/>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2</c:f>
              <c:numCache>
                <c:formatCode>General</c:formatCode>
                <c:ptCount val="11"/>
              </c:numCache>
            </c:numRef>
          </c:val>
        </c:ser>
        <c:gapWidth val="219"/>
        <c:overlap val="-27"/>
        <c:axId val="56745419"/>
        <c:axId val="69409680"/>
      </c:barChart>
      <c:catAx>
        <c:axId val="56745419"/>
        <c:scaling>
          <c:orientation val="minMax"/>
        </c:scaling>
        <c:delete val="0"/>
        <c:axPos val="b"/>
        <c:title>
          <c:tx>
            <c:rich>
              <a:bodyPr rot="0"/>
              <a:lstStyle/>
              <a:p>
                <a:pPr>
                  <a:defRPr sz="1300" b="0" u="none" strike="noStrike">
                    <a:uFillTx/>
                    <a:latin typeface="Arial"/>
                  </a:defRPr>
                </a:pPr>
                <a:r>
                  <a:rPr lang="en-US" sz="1000" b="0" u="none" strike="noStrike">
                    <a:solidFill>
                      <a:schemeClr val="tx1">
                        <a:lumMod val="65000"/>
                        <a:lumOff val="35000"/>
                      </a:schemeClr>
                    </a:solidFill>
                    <a:uFillTx/>
                    <a:latin typeface="Calibri"/>
                  </a:rPr>
                  <a:t>FACTORI DE RISC</a:t>
                </a:r>
              </a:p>
            </c:rich>
          </c:tx>
          <c:overlay val="0"/>
          <c:spPr>
            <a:noFill/>
            <a:ln w="0">
              <a:noFill/>
            </a:ln>
          </c:spPr>
        </c:title>
        <c:numFmt formatCode="General" sourceLinked="0"/>
        <c:majorTickMark val="out"/>
        <c:minorTickMark val="none"/>
        <c:tickLblPos val="nextTo"/>
        <c:spPr>
          <a:ln w="9360">
            <a:solidFill>
              <a:srgbClr val="D9D9D9"/>
            </a:solidFill>
            <a:round/>
          </a:ln>
        </c:spPr>
        <c:txPr>
          <a:bodyPr/>
          <a:lstStyle/>
          <a:p>
            <a:pPr>
              <a:defRPr sz="900" b="0" u="none" strike="noStrike">
                <a:solidFill>
                  <a:srgbClr val="595959"/>
                </a:solidFill>
                <a:uFillTx/>
                <a:latin typeface="Calibri"/>
              </a:defRPr>
            </a:pPr>
          </a:p>
        </c:txPr>
        <c:crossAx val="69409680"/>
        <c:crosses val="autoZero"/>
        <c:auto val="1"/>
        <c:lblAlgn val="ctr"/>
        <c:lblOffset val="100"/>
        <c:noMultiLvlLbl val="0"/>
      </c:catAx>
      <c:valAx>
        <c:axId val="69409680"/>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1000" b="0" u="none" strike="noStrike">
                    <a:solidFill>
                      <a:schemeClr val="tx1">
                        <a:lumMod val="65000"/>
                        <a:lumOff val="35000"/>
                      </a:schemeClr>
                    </a:solidFill>
                    <a:uFillTx/>
                    <a:latin typeface="Calibri"/>
                  </a:rPr>
                  <a:t>NIVEL</a:t>
                </a:r>
                <a:r>
                  <a:rPr lang="en-US" sz="1000" b="0" u="none" strike="noStrike">
                    <a:solidFill>
                      <a:schemeClr val="tx1">
                        <a:lumMod val="65000"/>
                        <a:lumOff val="35000"/>
                      </a:schemeClr>
                    </a:solidFill>
                    <a:uFillTx/>
                    <a:latin typeface="Calibri"/>
                  </a:rPr>
                  <a:t> PARTIAL DE RISC</a:t>
                </a:r>
              </a:p>
            </c:rich>
          </c:tx>
          <c:overlay val="0"/>
          <c:spPr>
            <a:noFill/>
            <a:ln w="0">
              <a:noFill/>
            </a:ln>
          </c:spPr>
        </c:title>
        <c:numFmt formatCode="General" sourceLinked="0"/>
        <c:majorTickMark val="out"/>
        <c:minorTickMark val="none"/>
        <c:tickLblPos val="nextTo"/>
        <c:spPr>
          <a:ln w="6480">
            <a:noFill/>
          </a:ln>
        </c:spPr>
        <c:txPr>
          <a:bodyPr/>
          <a:lstStyle/>
          <a:p>
            <a:pPr>
              <a:defRPr sz="900" b="0" u="none" strike="noStrike">
                <a:solidFill>
                  <a:srgbClr val="595959"/>
                </a:solidFill>
                <a:uFillTx/>
                <a:latin typeface="Calibri"/>
              </a:defRPr>
            </a:pPr>
          </a:p>
        </c:txPr>
        <c:crossAx val="56745419"/>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3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 de risc proprii mediului de munca</a:t>
                    </a:r>
                    <a:r>
                      <a:rPr sz="1000" b="0" u="none" strike="noStrike">
                        <a:solidFill>
                          <a:srgbClr val="000000"/>
                        </a:solidFill>
                        <a:uFillTx/>
                        <a:latin typeface="Calibri"/>
                      </a:rPr>
                      <a:t>
36,36 %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a:t>
                    </a:r>
                    <a:r>
                      <a:rPr sz="1000" b="0" u="none" strike="noStrike">
                        <a:solidFill>
                          <a:srgbClr val="000000"/>
                        </a:solidFill>
                        <a:uFillTx/>
                        <a:latin typeface="Calibri"/>
                      </a:rPr>
                      <a:t>
9,10 %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900"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sarcinii de munca</c:v>
                </c:pt>
                <c:pt idx="3">
                  <c:v>Factori de risc proprii executantului</c:v>
                </c:pt>
              </c:strCache>
            </c:strRef>
          </c:cat>
          <c:val>
            <c:numRef>
              <c:f>0</c:f>
              <c:numCache>
                <c:formatCode>General</c:formatCode>
                <c:ptCount val="4"/>
                <c:pt idx="0">
                  <c:v>27.27</c:v>
                </c:pt>
                <c:pt idx="1">
                  <c:v>36.36</c:v>
                </c:pt>
                <c:pt idx="2">
                  <c:v>9.1</c:v>
                </c:pt>
                <c:pt idx="3">
                  <c:v>27.27</c:v>
                </c:pt>
              </c:numCache>
            </c:numRef>
          </c:val>
        </c:ser>
      </c:pie3DChart>
    </c:plotArea>
    <c:plotVisOnly val="1"/>
    <c:dispBlanksAs val="gap"/>
  </c:chart>
  <c:spPr>
    <a:solidFill>
      <a:srgbClr val="FFFFFF"/>
    </a:solidFill>
    <a:ln w="9360">
      <a:solidFill>
        <a:srgbClr val="D9D9D9"/>
      </a:solidFill>
      <a:round/>
    </a:ln>
  </c:spPr>
  <c:externalData r:id="rId1"/>
</c:chartSpace>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Application>LibreOffice/26.8.0.3$Linux_AARCH64 LibreOffice_project/680$Build-3</Application>
  <AppVersion>15.0000</AppVersion>
  <Pages>71</Pages>
  <Words>25646</Words>
  <Characters>145518</Characters>
  <CharactersWithSpaces>166330</CharactersWithSpaces>
  <Paragraphs>4618</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2026-09-19T01:59:39Z</dcterms:modified>
  <cp:revision>10</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