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 material informativ, s-au predat și următoarele documente:</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instruirea în domeniul securității și sănătății în muncă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de constituire a echipei de evaluare a riscurilor de accidentare și/ sau îmbolnăvire profesională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acordarea primului ajutor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privind personalul desemnat cu luarea măsurilor în caz de pericol grav și iminent</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desemnarea reprezentanților lucrătorilor cu răspunderi specifice în domeniul securității și sănătății în muncă</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Registre de evidență a evenimentelor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Material de instruire în domeniul securității și sănătății în muncă pentru instruirea introductiv-generală (cod MISSMIG)</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Instrucțiuni proprii în domeniul securității și sănătății în muncă (cod IPSSM)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Tematica de instruire și programul de instruire – testare la nivelul unității în domeniul securității și sănătății în muncă (cod TISSM)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Test de verificare a cunoștințelor în urma instruirii introductiv-generale în domeniul securității și sănătății în muncă (cod TASSM)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Test de verificare periodică în domeniul securității și sănătății în muncă (cod TPSSM)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Lista internă cu necesarul de dotare cu echipament individual de protecție (E.I.P.) a lucrătorilor (cod LN E.I.P.)</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Document justificativ de control privind verificarea tematică la locurile de muncă, informarea asupra deficiențelor constatate și propuneri de măsuri de prevenire și protecție (cod RSSM)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Regulament intern privind controlul propriu privind respectarea prevederilor legale, a dispozițiilor, instrucțiunilor și reglementărilor interne în domeniul securității și sănătății în muncă (cod R.I.C.P. 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Evaluarea riscurilor de accidentare și/ sau îmbolnăvire profesională (Descrierea metodei elaborate de I.N.C.D.P.M. București, utilizată de evaluator) (cod EVR)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Planul de prevenire și protecție întocmit în baza evaluării riscurilor (cod PPP)</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I. Prevederi generale pentru angajator conform Legii 319/ 2006</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 Obligațiile angajatorului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III. Obligațiile și drepturile angajaților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IV. Organizarea activităților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 Organizarea activităților de prevenire și protecție pentru întreprinderile cu până la 9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 Organizarea activităților de prevenire și protecție pentru întreprinderile care au între 10 și 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IV.III. Organizarea activităților de prevenire și protecție pentru întreprinderile care au între 50 și 249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IV.IV. Organizarea activităților de prevenire și protecție în cazul întreprinderilor și/ sau unităților care au peste 250 de lucrători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 Desemnarea lucrătorilor pentru activitățile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 Lucrătorii desemnați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 Servicii externe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IV.VIII. Reprezentanții lucrătorilor cu răspunderi specifice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 Informații privind instruirea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 Informații cu privire la comitetul de securitate și sănătate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VII. Comunicarea, cercetarea, înregistrarea și raportarea evenimentelor, accidentelor de muncă și bolilor profesionale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VIII. Evaluarea riscurilor de accidentare și/ sau îmbolnăvire profesională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IX. Informații privind necesarul, întocmirea și implementarea necesarului de documentații cu caracter tehnic de informare și instruire 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 Informații privind întocmirea fișei postului</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XI. Informații privind întocmirea regulamentului intern</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 Prevederi generale pentru angajator conform Legii 319/ 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6, alin. (1), (2), (3))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ia măsuri și să furnizeze instrucțiuni pentru a da lucrătorilor posibilitatea să oprească lucrul și/sau să părăsească imediat locul de muncă și să se îndrepte spre o zonă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țină evidența zonelor cu risc ridicat și specific prevăzute la art. 7, alin. (4), lit. e) din Legea 319/ 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 xml:space="preserve">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alte activități necesare/specifice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14) </w:t>
      </w:r>
      <w:r>
        <w:rPr>
          <w:rStyle w:val="tpa1"/>
          <w:rFonts w:eastAsia="Arial" w:cs="Arial" w:ascii="Arial" w:hAnsi="Arial"/>
          <w:b/>
          <w:color w:val="auto"/>
          <w:spacing w:val="0"/>
          <w:w w:val="100"/>
          <w:sz w:val="20"/>
          <w:szCs w:val="20"/>
          <w:lang w:val="ro-RO"/>
        </w:rPr>
        <w:t>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 xml:space="preserve">prin înființarea unuia sau mai multor servicii interne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9)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activitățile desfășurate în cadrul întreprinderii nu sunt dintre cele prevăzute în anexa nr. 5 din H.G. 1425/ 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își desfășoară activitatea profesională în mod efectiv și cu regularitate în întreprindere și/sau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angajatorul a urmat cel puțin un program de pregătire în domeniul securității și sănătății în muncă, cu o durată minimă de 40 de ore și conținutul prevăzut în anexa nr. 6 lit. A din H.G. 1425/ 2006, fapt care se atestă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situația în care nu sunt îndeplinite condițiile prevăzute la alin. (1) de mai sus, angajatorul trebuie să desemneze unul sau mai mulți lucrători ori poate organiza serviciul intern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 xml:space="preserve">(1) lit. a) - c) din H.G. 1425/ 2006;</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situația în care nu sunt îndeplinite condițiile prevăzute la alin. (1), angajatorul trebuie să desemneze unul sau mai mulți lucrători ori poate organiza unul sau mai multe servicii interne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1425/ 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din H.G. 1425/ 2006</w:t>
      </w:r>
      <w:r>
        <w:rPr>
          <w:rStyle w:val="tal1"/>
          <w:rFonts w:eastAsia="Arial" w:cs="Arial" w:ascii="Arial" w:hAnsi="Arial"/>
          <w:bCs/>
          <w:color w:val="auto"/>
          <w:spacing w:val="0"/>
          <w:w w:val="100"/>
          <w:sz w:val="20"/>
          <w:szCs w:val="20"/>
          <w:lang w:val="ro-RO"/>
        </w:rPr>
        <w:t>,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În cazul în care lucrătorii desemnați, 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 care serviciile interne de prevenire și protecție nu au capacitățile și aptitudinile necesare pentru efectuarea tuturor activităților de prevenire și protecție prevăzute la art. 15 din H.G. 1425/ 2006,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Desemnarea lucrătorilor pentru activitățile de prevenire și protecție</w:t>
      </w:r>
      <w:r>
        <w:rPr>
          <w:rStyle w:val="tal1"/>
          <w:rFonts w:eastAsia="Arial" w:cs="Arial" w:ascii="Arial" w:hAnsi="Arial"/>
          <w:b/>
          <w:bCs/>
          <w:color w:val="auto"/>
          <w:spacing w:val="0"/>
          <w:w w:val="100"/>
          <w:sz w:val="20"/>
          <w:szCs w:val="20"/>
          <w:lang w:val="ro-RO"/>
        </w:rPr>
        <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Lucrători desemnați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Angajatorul va desemna lucrătorul numai din rândul lucrătorilor cu care are încheiat contract individual de muncă cu normă întreagă.</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Pentru a putea să desfășoare activitățile de prevenire și protecție, lucrătorul desemnat trebuie să îndeplinească cel puțin cerințele minime de pregătire în domeniul securității și sănătății în muncă, potrivit prevederilor art. 49 din H.G. 1425/ 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Serviciul extern trebuie să aibă acces la toate informațiile necesare desfășurării activității de prevenire și protecție.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modul de colaborare cu lucrătorii desemnați/serviciile interne și/sau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 xml:space="preserve">clauze privind soluționarea litigiilor apărute între părți.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1425/ 2006,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și/sau unitate.</w:t>
      </w:r>
    </w:p>
    <w:p>
      <w:pPr>
        <w:pStyle w:val="Normal"/>
        <w:keepNext/>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un reprezentant, în cazul întreprinderilor și/sau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2 reprezentanți, în cazul întreprinderilor și/sau unităților care au între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H.G. 1425/ 2006</w:t>
      </w:r>
      <w:r>
        <w:rPr>
          <w:rStyle w:val="tli1"/>
          <w:rFonts w:eastAsia="Arial" w:cs="Arial" w:ascii="Arial" w:hAnsi="Arial"/>
          <w:bCs/>
          <w:color w:val="auto"/>
          <w:spacing w:val="0"/>
          <w:w w:val="100"/>
          <w:sz w:val="20"/>
          <w:szCs w:val="20"/>
          <w:lang w:val="ro-RO"/>
        </w:rPr>
        <w:t>,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anexa nr. 6 lit. A</w:t>
      </w:r>
      <w:r>
        <w:rPr>
          <w:rStyle w:val="tli1"/>
          <w:rFonts w:eastAsia="Arial" w:cs="Arial" w:ascii="Arial" w:hAnsi="Arial"/>
          <w:bCs/>
          <w:color w:val="auto"/>
          <w:spacing w:val="0"/>
          <w:w w:val="100"/>
          <w:sz w:val="20"/>
          <w:szCs w:val="20"/>
          <w:lang w:val="ro-RO"/>
        </w:rPr>
        <w:t xml:space="preserve"> din H.G. 1425/ 2006</w:t>
      </w:r>
      <w:r>
        <w:rPr>
          <w:rStyle w:val="tal1"/>
          <w:rFonts w:eastAsia="Arial" w:cs="Arial" w:ascii="Arial" w:hAnsi="Arial"/>
          <w:bCs/>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Îndeplinirea cerinței prevăzute la alin. (1) se atestă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instrucțiunile proprii privind instruirea lucrătorilor</w:t>
      </w:r>
      <w:r>
        <w:rPr>
          <w:rStyle w:val="tpt1"/>
          <w:rFonts w:eastAsia="Arial" w:cs="Arial" w:ascii="Arial" w:hAnsi="Arial"/>
          <w:b/>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4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din Legea 319/ 2006 trebuie să se efectueze în timpul programului de lucru, fie în interiorul, fie în afara întreprinderii și/sau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 xml:space="preserve">(Preluare din H.G. 1425/ 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 xml:space="preserve">Rezultatul instruirii lucrătorilor în domeniul securității și sănătății în muncă se consemnează în mod obligatoriu în fișa de instruire individuală, întocmită pe suport hârtie sau în format electronic, conform informațiilor prevăzute în anexa nr. 11,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1</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2</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conformitate cu prevederile art. 17 alin. (3) lit. o) și alin. (4) din Legea nr. 53/2003 -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3</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 xml:space="preserve">(5)</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se păstrează în întreprindere/unitate, pe suport hârtie sau în format electronic, după caz, de la angajare până la data încetării raporturilor de muncă.</w:t>
      </w:r>
    </w:p>
    <w:p>
      <w:pPr>
        <w:pStyle w:val="Heading1"/>
        <w:keepNext/>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 xml:space="preserve">serviciului extern de prevenire și protecție, activitate desfășurată prin contractul de prestări servicii sau, dacă este posibil, și de către persoanele desemnate în acest sens prin decizie internă și prin fișa postului.</w:t>
      </w:r>
    </w:p>
    <w:p>
      <w:pPr>
        <w:pStyle w:val="Heading1"/>
        <w:keepNext/>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introductiv-generală se face individual sau în grupuri de cel mult 20 de persoane.</w:t>
      </w:r>
    </w:p>
    <w:p>
      <w:pPr>
        <w:pStyle w:val="Heading1"/>
        <w:keepNext w:val="false"/>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eastAsia="Arial" w:cs="Arial" w:ascii="Arial" w:hAnsi="Arial"/>
          <w:b w:val="false"/>
          <w:i/>
          <w:color w:val="auto"/>
          <w:spacing w:val="0"/>
          <w:w w:val="100"/>
          <w:sz w:val="20"/>
          <w:szCs w:val="20"/>
          <w:shd w:fill="FFFFFF" w:val="clear"/>
          <w:lang w:val="ro-RO"/>
        </w:rPr>
        <w:t>(Preluare din H.G. 767/ 2016)</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lang w:val="ro-RO"/>
        </w:rPr>
        <w:t>La articolul 87, alineatul (3) se modifică și va avea următorul cuprins:</w:t>
      </w:r>
      <w:r>
        <w:rPr>
          <w:rFonts w:eastAsia="Arial" w:cs="Arial" w:ascii="Arial" w:hAnsi="Arial"/>
          <w:b w:val="false"/>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și/sau unitate.</w:t>
      </w:r>
    </w:p>
    <w:p>
      <w:pPr>
        <w:pStyle w:val="Heading1"/>
        <w:keepNext w:val="false"/>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are denumirea de « Material de instruire în domeniul securității și sănătății în muncă pentru instruirea introductiv-generală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la locul de muncă se face de către conducătorul direct al fiecărui loc de muncă, în grupe de maximum 20 de persoane.</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 xml:space="preserve">(Preluare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Style w:val="spar"/>
          <w:rFonts w:eastAsia="Arial" w:cs="Arial" w:ascii="Arial" w:hAnsi="Arial"/>
          <w:b/>
          <w:color w:val="auto"/>
          <w:spacing w:val="0"/>
          <w:w w:val="100"/>
          <w:sz w:val="20"/>
          <w:szCs w:val="20"/>
          <w:shd w:fill="FFFFFF" w:val="clear"/>
          <w:lang w:val="ro-RO"/>
        </w:rPr>
        <w:t>Durata instruirii la locul de muncă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keepNext/>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poartă denumirea de « Instrucțiuni proprii în domeniul securității și sănătății în muncă »</w:t>
      </w:r>
      <w:r>
        <w:rPr>
          <w:rFonts w:eastAsia="Arial" w:cs="Arial" w:ascii="Arial" w:hAnsi="Arial"/>
          <w:b w:val="false"/>
          <w:color w:val="auto"/>
          <w:spacing w:val="0"/>
          <w:w w:val="100"/>
          <w:sz w:val="20"/>
          <w:szCs w:val="20"/>
          <w:lang w:val="ro-RO"/>
        </w:rPr>
        <w:t xml:space="preserve">, fiind codificat IPSSM.</w:t>
      </w:r>
    </w:p>
    <w:p>
      <w:pPr>
        <w:pStyle w:val="Heading1"/>
        <w:keepNext w:val="false"/>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 xml:space="preserve">(Preluare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 xml:space="preserve">ntervalul dintre două instruiri periodice și periodicitatea verificării instruirii vor fi stabilite prin programul de instruire-testare elaborat la nivelul întreprinderii și/sau unității potrivit prevederilor art. 15 alin. (1) pct. 8 din H.G. 1425/ 2006, în funcție de condițiile locului de muncă și/sau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w:t>
      </w:r>
      <w:r>
        <w:rPr>
          <w:rStyle w:val="spar"/>
          <w:rFonts w:eastAsia="Arial" w:cs="Arial" w:ascii="Arial" w:hAnsi="Arial"/>
          <w:b/>
          <w:color w:val="auto"/>
          <w:spacing w:val="0"/>
          <w:w w:val="100"/>
          <w:sz w:val="20"/>
          <w:szCs w:val="20"/>
          <w:shd w:fill="FFFFFF" w:val="clear"/>
          <w:lang w:val="ro-RO"/>
        </w:rPr>
        <w:t>Durata instruirii periodice prevăzute la art. 98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periodică suplimentară se va efectua pe baza tematicilor </w:t>
      </w:r>
      <w:r>
        <w:rPr>
          <w:rStyle w:val="tal1"/>
          <w:rFonts w:eastAsia="Arial" w:cs="Arial" w:ascii="Arial" w:hAnsi="Arial"/>
          <w:b/>
          <w:color w:val="auto"/>
          <w:spacing w:val="0"/>
          <w:w w:val="100"/>
          <w:sz w:val="20"/>
          <w:szCs w:val="20"/>
          <w:lang w:val="ro-RO"/>
        </w:rPr>
        <w:t xml:space="preserve">întocmite de către serviciul extern de prevenire și protecție și aprobate de către angajator,</w:t>
      </w:r>
      <w:r>
        <w:rPr>
          <w:rStyle w:val="tpa1"/>
          <w:rFonts w:eastAsia="Arial" w:cs="Arial" w:ascii="Arial" w:hAnsi="Arial"/>
          <w:b/>
          <w:color w:val="auto"/>
          <w:spacing w:val="0"/>
          <w:w w:val="100"/>
          <w:sz w:val="20"/>
          <w:szCs w:val="20"/>
          <w:lang w:val="ro-RO"/>
        </w:rPr>
        <w:t xml:space="preserve">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color w:val="auto"/>
          <w:spacing w:val="0"/>
          <w:w w:val="100"/>
          <w:sz w:val="20"/>
          <w:szCs w:val="20"/>
          <w:lang w:val="ro-RO"/>
        </w:rPr>
        <w:t xml:space="preserve">Tematica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 xml:space="preserve">Capitolul VII. Comunicarea, cercetarea, înregistrarea și raportarea evenimentelor, accidentelor de muncă și bolilor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 xml:space="preserve">are următorul înțeles: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Art. 5, lit. h) În sensul Legii 319/ 2006, termenul de boală profesională</w:t>
      </w:r>
      <w:r>
        <w:rPr>
          <w:rStyle w:val="tal1"/>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Legii nr. 346/ 2002</w:t>
      </w:r>
      <w:r>
        <w:rPr>
          <w:rFonts w:eastAsia="Arial" w:cs="Arial" w:ascii="Arial" w:hAnsi="Arial"/>
          <w:color w:val="auto"/>
          <w:spacing w:val="0"/>
          <w:w w:val="100"/>
          <w:sz w:val="20"/>
          <w:szCs w:val="20"/>
          <w:lang w:val="ro-RO"/>
        </w:rPr>
        <w:t xml:space="preserve">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 aflate în vizită în întreprindere și/sau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proprie inițiativă pentru prevenirea ori înlăturarea unui pericol care amenință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înainte sau după încetarea lucrului, dacă victima prelua sau preda uneltele de lucru, locul de muncă, utilajul ori materialele, dacă schimba îmbrăcămintea personală, echipamentul individual de protecție sau orice alt echipament pus la dispoziție de angajator, dacă se afla în baie ori în spălător sau dacă se deplasa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lucrători ai angajatorilor români sau de persoane fizice române, delegați pentru îndeplinirea îndatoririlor de serviciu în afara granițelor țării, pe durata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determinat de fenomene sau calamități naturale, cum ar fi furtună, viscol, cutremur, inundație, alunecări de teren, trăsnet (electrocutare), dacă victima se afla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 xml:space="preserve">Accidentele de muncă se clasifică,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15, alin. (3)) </w:t>
      </w:r>
      <w:r>
        <w:rPr>
          <w:rStyle w:val="tal1"/>
          <w:rFonts w:eastAsia="Arial" w:cs="Arial" w:ascii="Arial" w:hAnsi="Arial"/>
          <w:b/>
          <w:bCs/>
          <w:color w:val="auto"/>
          <w:spacing w:val="0"/>
          <w:w w:val="100"/>
          <w:sz w:val="20"/>
          <w:szCs w:val="20"/>
          <w:lang w:val="ro-RO"/>
        </w:rPr>
        <w:t>Evaluarea riscurilor cu privire la securitatea și sănătatea în muncă la nivelul întreprinderii și/sau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ori de câte ori intervin schimbări sau modificări în ceea ce privește tehnologia, echipamentele de muncă, substanțele ori preparatele chimice utilizate și amenajarea locurilor de muncă/posturilor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 xml:space="preserve">conform prevederilor H.G. 1425/ 2006,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319/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1425/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Normele metodologice de aplicare a prevederilor Legii securității și sănătății în muncă nr. 319/ 2006</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557/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Completarea măsurilor destinate să promoveze îmbunătățirea securității și sănătății la locul de muncă pentru salariații încadrați în baza unui contract individual de muncă pe durată determinată și pentru salariații temporari încadrați la agenți de muncă temporară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355/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1876/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300/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493/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971/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semnalizarea de securitate și/sau de sănătate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1028/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asigurarea securității și sănătății lucrătorilor din industria extractivă de suprafață și subteran</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îmbunătățirea securității și protecției sănătății lucrătorilor care pot fi expuși riscului datorat atmosferelor explozive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de securitate și sănătate pentru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1092/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protecția lucrătorilor împotriva riscurilor legate de expunerea la agenți cancerigeni sau mutageni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1136/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câmpurile electromagnetice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1146/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1218/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asigurarea protecției lucrătorilor împotriva riscurilor legate de expunerea la agenți chimici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600/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1875/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 xml:space="preserve">Denumirea documentului</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Toate informațiile necesare cu privire la modul de utilizare, depozitarea, întreținerea și mentenanța, specificații tehnice și principii de funcționare și a sistemelor de control și securitate, obligații și atenționări specifice, pentru a putea obține maximum de eficiență, performanțe ridicate și evitarea producerii de accidente cauzate de mijlocul de producție pentru fiecare echipament de muncă din dotarea unității.</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Material de instruire în domeniul securității și sănătății în muncă pentru instruirea introductiv-generală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 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Lista internă cu necesarul de dotare cu echipament individual de protecție (E.I.P.) a lucrătorilor</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Evaluarea riscurilor de accidentare și/ sau îmbolnăvire profesională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3. ALTE MATERIALE INFORMATIVE</w:t>
      </w:r>
    </w:p>
    <w:tbl>
      <w:tblPr>
        <w:tblW w:w="5000" w:type="pct"/>
        <w:jc w:val="left"/>
        <w:tblInd w:w="55" w:type="dxa"/>
        <w:tblLayout w:type="fixed"/>
        <w:tblCellMar>
          <w:top w:w="55" w:type="dxa"/>
          <w:left w:w="55" w:type="dxa"/>
          <w:bottom w:w="55" w:type="dxa"/>
          <w:right w:w="55" w:type="dxa"/>
        </w:tblCellMar>
      </w:tblPr>
      <w:tblGrid>
        <w:gridCol w:w="654"/>
        <w:gridCol w:w="2152"/>
        <w:gridCol w:w="1203"/>
        <w:gridCol w:w="980"/>
        <w:gridCol w:w="1203"/>
        <w:gridCol w:w="980"/>
        <w:gridCol w:w="1203"/>
        <w:gridCol w:w="980"/>
      </w:tblGrid>
      <w:tr>
        <w:trPr>
          <w:tblHeader w:val="true"/>
          <w:cantSplit/>
          <w:trHeight w:val="46" w:hRule="atLeast"/>
        </w:trPr>
        <w:tc>
          <w:tcPr>
            <w:tcW w:w="654" w:type="dxa"/>
            <w:tcBorders>
              <w:top w:val="single" w:sz="4" w:space="0" w:color="000000"/>
              <w:left w:val="single" w:sz="4" w:space="0" w:color="000000"/>
              <w:bottom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152" w:type="dxa"/>
            <w:tcBorders>
              <w:top w:val="single" w:sz="4" w:space="0" w:color="000000"/>
              <w:left w:val="single" w:sz="4" w:space="0" w:color="000000"/>
              <w:bottom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materialului informativ</w:t>
            </w:r>
          </w:p>
        </w:tc>
        <w:tc>
          <w:tcPr>
            <w:tcW w:w="6549" w:type="dxa"/>
            <w:gridSpan w:val="6"/>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cantSplit/>
          <w:trHeight w:val="46" w:hRule="atLeast"/>
        </w:trPr>
        <w:tc>
          <w:tcPr>
            <w:tcW w:w="654" w:type="dxa"/>
            <w:vMerge w:val="restart"/>
            <w:tcBorders>
              <w:left w:val="single" w:sz="4" w:space="0" w:color="000000"/>
              <w:bottom w:val="single" w:sz="4" w:space="0" w:color="000000"/>
            </w:tcBorders>
            <w:vAlign w:val="center"/>
          </w:tcPr>
          <w:p>
            <w:pPr>
              <w:pStyle w:val="Normal"/>
              <w:keepNext w:val="true"/>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1.</w:t>
            </w:r>
          </w:p>
        </w:tc>
        <w:tc>
          <w:tcPr>
            <w:tcW w:w="2152" w:type="dxa"/>
            <w:vMerge w:val="restart"/>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PSI</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AVERTIZARE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ATENȚIONARE</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OBLIGATIVI</w:t>
              <w:softHyphen/>
              <w:t>TATE</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cantSplit/>
          <w:trHeight w:val="46"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PRIM AJUTOR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Style w:val="tsp1"/>
                <w:rFonts w:eastAsia="Arial" w:cs="Arial" w:ascii="Arial" w:hAnsi="Arial"/>
                <w:b/>
                <w:color w:val="auto"/>
                <w:spacing w:val="0"/>
                <w:w w:val="100"/>
                <w:sz w:val="14"/>
                <w:szCs w:val="20"/>
                <w:lang w:val="ro-RO"/>
              </w:rPr>
              <w:t>PREVENIREA ȘI STINGEREA INCENDIILOR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BENZI DE MARCAJ OCAZIONAT</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cantSplit/>
          <w:trHeight w:val="53" w:hRule="atLeast"/>
        </w:trPr>
        <w:tc>
          <w:tcPr>
            <w:tcW w:w="654" w:type="dxa"/>
            <w:tcBorders>
              <w:left w:val="single" w:sz="4" w:space="0" w:color="000000"/>
              <w:bottom w:val="single" w:sz="4" w:space="0" w:color="000000"/>
            </w:tcBorders>
            <w:vAlign w:val="center"/>
          </w:tcPr>
          <w:p>
            <w:pPr>
              <w:pStyle w:val="Normal"/>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2.</w:t>
            </w:r>
          </w:p>
        </w:tc>
        <w:tc>
          <w:tcPr>
            <w:tcW w:w="2152"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549" w:type="dxa"/>
            <w:gridSpan w:val="6"/>
            <w:tcBorders>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afișa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securității și sănătății în muncă (conform Legii 319/2006 și H.G. 1425/ 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evitarea riscurilor de expună la pericol de accidentare sau îmbolnăvire profesională atât propria persoană, cât și alte persoane care pot fi afectate de acțiuni sau omisiuni sale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securității și sănătății în muncă (instruirea introductiv-generală, instruirea la locul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Fiecare lucrător se va prezenta la cabinetul de medicina muncii pentru </w:t>
      </w:r>
      <w:r>
        <w:rPr>
          <w:rFonts w:eastAsia="Arial" w:cs="Arial" w:ascii="Arial" w:hAnsi="Arial"/>
          <w:bCs/>
          <w:color w:val="auto"/>
          <w:spacing w:val="0"/>
          <w:w w:val="100"/>
          <w:sz w:val="20"/>
          <w:szCs w:val="20"/>
          <w:lang w:val="ro-RO"/>
        </w:rPr>
        <w:t xml:space="preserve">efectuarea la termenele stabilite de medicul de medicina muncii al unității, </w:t>
      </w:r>
      <w:r>
        <w:rPr>
          <w:rFonts w:eastAsia="Arial" w:cs="Arial" w:ascii="Arial" w:hAnsi="Arial"/>
          <w:color w:val="auto"/>
          <w:spacing w:val="0"/>
          <w:w w:val="100"/>
          <w:sz w:val="20"/>
          <w:szCs w:val="20"/>
          <w:lang w:val="ro-RO"/>
        </w:rPr>
        <w:t xml:space="preserve">controlul medical periodic sau, după caz, controlul psihologic periodic, datele medicale obținute fiind evidențiate în </w:t>
      </w:r>
      <w:r>
        <w:rPr>
          <w:rFonts w:eastAsia="Arial" w:cs="Arial" w:ascii="Arial" w:hAnsi="Arial"/>
          <w:b/>
          <w:bCs/>
          <w:color w:val="auto"/>
          <w:spacing w:val="0"/>
          <w:w w:val="100"/>
          <w:sz w:val="20"/>
          <w:szCs w:val="20"/>
          <w:lang w:val="ro-RO"/>
        </w:rPr>
        <w:t>« FIȘA DE APTITUDINE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și soluționate prin parafa medicului de medicina muncii în « </w:t>
      </w:r>
      <w:r>
        <w:rPr>
          <w:rFonts w:eastAsia="Arial" w:cs="Arial" w:ascii="Arial" w:hAnsi="Arial"/>
          <w:b/>
          <w:bCs/>
          <w:color w:val="auto"/>
          <w:spacing w:val="0"/>
          <w:w w:val="100"/>
          <w:sz w:val="20"/>
          <w:szCs w:val="20"/>
          <w:lang w:val="ro-RO"/>
        </w:rPr>
        <w:t>FIȘA DE INSTRUIRE ÎN DOMENIUL SECURITĂȚII ȘI SĂNĂTĂȚII ÎN MUNCĂ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pentru anul în curs.</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situațiilor de urgență (conform Legii 307/2006), valabile pentru lucrători: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furnizeze persoanelor abilitate toate datele și informațiile de care are cunoștință, referitoare la producerea incendiilor.</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asemenea, pentru realizarea instruirii în domeniul situațiilor de urgență,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situațiilor de urgență (instruirea introductiv-generală,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situațiilor de urgență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în domeniul situațiilor de urgență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(conform Legii 319/ 2006 și H.G. 1425/ 2006), valabile pentru șefii locurilor de muncă, vor fi aceleași cu ale lucrătorilor doar că se vor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situațiilor de urgență (conform Legii 307/ 2006), valabile pentru șefii locurilor de muncă, vor fi aceleași cu ale lucrătorilor doar că se vor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bookmarkStart w:id="14" w:name="do|caIII|si9|ar56|pa1"/>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 xml:space="preserve">vor fi suplimentate cu următoarele prevederi</w:t>
      </w:r>
      <w:bookmarkEnd w:id="14"/>
      <w:r>
        <w:rPr>
          <w:rStyle w:val="tpt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 2006, Art. 15)</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 xml:space="preserve">vor fi suplimentate cu următoarele prevederi (aceste atribuții vor fi stabilite de comun acord între lucrătorul desemnat și angajator)</w:t>
      </w:r>
      <w:r>
        <w:rPr>
          <w:rStyle w:val="tpa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 xml:space="preserve">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Angajatorul are obligația potrivit Legii 319/2006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keepNext/>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evaluarea riscurilor pentru securitatea și sănătatea lucrătorilor în vederea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solicite autorizarea funcționării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punctul de vedere al securității muncii, să mențină condițiile de lucru pentru care s-a obținut autorizație și să ceară revizuirea acesteia în cazul modificării condițiilor inițiale pentru care a fost emisă;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stabilească măsurile tehnice și organizatorice de securitate a muncii, corespunzător condițiilor de muncă și factorilor de risc evaluați la locurile de muncă, pentru asigurarea securității și sănătății angajaților;</w:t>
      </w:r>
    </w:p>
    <w:p>
      <w:pPr>
        <w:pStyle w:val="Normal"/>
        <w:keepNext/>
        <w:widowControl/>
        <w:numPr>
          <w:ilvl w:val="0"/>
          <w:numId w:val="44"/>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lucrătorii care își schimbă locul de muncă sau felul muncii sau își reiau activitatea după o întrerupere mai mare de 6 luni;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studenți în practică.</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nouă în domeniul tehnicii de calcul sau alte domenii noi de activitate în cadrul </w:t>
      </w:r>
      <w:r>
        <w:rPr>
          <w:rFonts w:eastAsia="Arial" w:cs="Arial" w:ascii="Arial" w:hAnsi="Arial"/>
          <w:bCs/>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keepNext/>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Astfel, lucrătorul desemnat sau serviciul extern va trebui să: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pentru angajații cu contract de muncă pe durată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keepNext/>
        <w:widowControl/>
        <w:numPr>
          <w:ilvl w:val="0"/>
          <w:numId w:val="10"/>
        </w:numPr>
        <w:spacing w:before="0" w:after="120"/>
        <w:ind w:hanging="360" w:left="108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să asigure efectuarea și plata contravalorii:</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ia măsurile necesare informării compartimentului de securitate a muncii sau lucrătorului desemnat despre angajații care au relații de muncă cu durată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se asigure că sunt consultați angajații și/sau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periodic sau ori de câte ori este cazul, verificarea încadrării nivelului noxelor în limitele admise, prin măsurători efectuate de către organismele abilitate (dacă este cazul);</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cerceteze, înregistreze, declare și să țină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anunțe imediat producerea de avarii tehnice, evenimente, accidente de muncă sau îmbolnăviri profesionale la inspectoratul teritorial de muncă și organele de urmărire penală competente, potrivit legii;</w:t>
      </w:r>
    </w:p>
    <w:p>
      <w:pPr>
        <w:pStyle w:val="Normal"/>
        <w:widowControl/>
        <w:numPr>
          <w:ilvl w:val="0"/>
          <w:numId w:val="4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 xml:space="preserve">în cazul în care temperaturile atmosferice sau cele din spațiul de lucru sunt ridicate și pot afecta sănătatea, în funcție de posibilități, aer condiționat sau ventilație. În perioadele cu temperaturi ridicate extreme (peste +37 °C), angajatorul va asigura apă minerală adecvată, câte 2 - 4 litri/ persoană/ schimb, iar în perioadele cu temperaturi scăzute extreme (sub -20 °C), salariaților care lucrează în aer liber, ceai fierbinte în cantitate de 0,5 - 1 litru/ persoană/ schimb (O.U.G. nr. 99/2000, art. 4 și 5)</w:t>
      </w:r>
      <w:r>
        <w:rPr>
          <w:rFonts w:eastAsia="Arial" w:cs="Arial" w:ascii="Arial" w:hAnsi="Arial"/>
          <w:bCs/>
          <w:color w:val="auto"/>
          <w:spacing w:val="0"/>
          <w:w w:val="100"/>
          <w:sz w:val="20"/>
          <w:szCs w:val="20"/>
          <w:lang w:val="ro-RO"/>
        </w:rPr>
        <w:t xml:space="preserve">;</w:t>
      </w:r>
    </w:p>
    <w:p>
      <w:pPr>
        <w:pStyle w:val="Normal"/>
        <w:widowControl/>
        <w:numPr>
          <w:ilvl w:val="0"/>
          <w:numId w:val="4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securitatea și sănătatea în muncă a salariatelor gravide și/sau mame, lăuze sau care alăptează, conform O.U.G. nr. 96/ 2003 privind protecția maternității la locurile de muncă.</w:t>
      </w:r>
    </w:p>
    <w:p>
      <w:pPr>
        <w:pStyle w:val="Normal"/>
        <w:keepNext/>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medicina</w:t>
      </w:r>
      <w:r>
        <w:rPr>
          <w:rFonts w:eastAsia="Arial" w:cs="Arial" w:ascii="Arial" w:hAnsi="Arial"/>
          <w:color w:val="auto"/>
          <w:spacing w:val="0"/>
          <w:w w:val="100"/>
          <w:sz w:val="20"/>
          <w:szCs w:val="20"/>
          <w:lang w:val="ro-RO"/>
        </w:rPr>
        <w:t xml:space="preserve"> muncii ce prestează aceste servicii pentru angajații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participe la evaluarea riscurilor privind îmbolnăvirile;</w:t>
      </w:r>
    </w:p>
    <w:p>
      <w:pPr>
        <w:pStyle w:val="Normal"/>
        <w:keepNext/>
        <w:widowControl/>
        <w:numPr>
          <w:ilvl w:val="0"/>
          <w:numId w:val="3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Pentru asigurarea atribuțiilor ce revin structurilor medicale de medicina muncii, angajatorul va lua următoarele măsuri:</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Angajatorii nu au dreptul să intervină prin niciun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organizează primul ajutor și tratamentul de urgență și instruiește lucrătorii cu privire la aplicarea metodelor accesibile lor de prim ajutor și a procedurilor de urgență în cazul accidentelor de muncă.</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Angajatorul va cere medicului de medicină a muncii să evalueze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evaluarea handicapului în relație cu munca;</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angajatul va păstra concluzia examinării medicale.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vederea respectării cerințelor privind asigurarea serviciului medical de medicină a muncii, lucrătorii care lucrează în cadrul societății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confirmarea sau infirmarea aptitudinii în muncă pentru profesia/funcția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viața și sănătatea celorlalți angajați la același loc de muncă;</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keepNext/>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efectuează de către persoane cu pregătire în domeniul securității și sănătății în muncă (lucrătorul desemnat, serviciul intern sau serviciul extern de prevenire și protecție); instruirea la locul de muncă și instruirea periodică se efectuează de către conducătorul locului de muncă sau de către serviciul extern de prevenire și protecție, potrivit deciziei de instruire.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face tuturor lucrătorilor care au raporturi de muncă cu societatea fie prin angajare, fie prin detașare de la altă societate, la intrarea în societate.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introductivă durează cf. deciziei și planificării interne și în cadrul său se prezintă: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instrucțiunile proprii la nivelul societății;</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Instructajul periodic durează {{training.periodicDuration}} și va avea frecvența stabilită prin instrucțiunile proprii ale societății.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Prezentul capitol se completează cu prevederile Legii 319/ 2006 și H.G. 1425/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Angajatorul sau persoana desemnată de acesta are obligația de întocmire a tematicilor anuale de instruire a lucrătorilor și instruirea acestora în domeniul prevenirii și stingerii incendiilor conform Dispoziției MAI privind instruirea salariaților în domeniul situațiilor de urgență.</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mijloacelor tehnice, echipamentelor de protecție, substanțelor chimice de stingere care sunt specifice riscurilor care decurg din existența și funcționarea unității, precum și a medicamentelor și antidotului necesare acordării primului ajutor, conform art. 19, alin. (1), lit. o) din Legea nr. 307 din 12.07.2006.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Prelucrarea actelor normative noi apărute care reglementează activitatea de apărare împotriva incendiilor, a Legii nr. 307/2006 și a altor acte normative subsecvente acesteia.</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oprească lucrul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refuze întemeiat executarea unei sarcini de muncă dacă aceasta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au dreptul să ceară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Reprezentantul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{{#workersRepresentativeDecision}}Reprezentanții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sunt desemnați prin decizia internă privind reprezentanții lucrătorilor.{{/workersRepresentativeDecision}}</w:t>
      </w:r>
      <w:r>
        <w:rPr>
          <w:rStyle w:val="tpa1"/>
          <w:rFonts w:eastAsia="Arial" w:cs="Arial" w:ascii="Arial" w:hAnsi="Arial"/>
          <w:color w:val="auto"/>
          <w:spacing w:val="0"/>
          <w:w w:val="100"/>
          <w:sz w:val="20"/>
          <w:szCs w:val="20"/>
          <w:lang w:val="ro-RO"/>
        </w:rPr>
        <w:t xml:space="preserve">{{^workersRepresentativeDecision}}Numărul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nu este stabilit, deoarece unitatea are sub 10 lucrători (H.G. 1425/ 2006, art. 53 alin. (2)).{{/workersRepresentativeDecision}}</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keepNext/>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Conform H.G. 1425/ 2006, art. 61 alin. (2), timpul alocat acestei activități va fi considerat timp de muncă și va fi de cel puțin:</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 ore pe lună în unitățile având un efectiv de până la 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5 ore pe lună în unitățile având un efectiv între 100 și 299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10 ore pe lună în unitățile având un efectiv între 300 și 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15 ore pe lună în unitățile având un efectiv între 500 și 1.499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20 de ore pe lună în unitățile având un efectiv de 1.500 de lucrători și peste.</w:t>
      </w:r>
    </w:p>
    <w:p>
      <w:pPr>
        <w:pStyle w:val="Normal"/>
        <w:widowControl/>
        <w:numPr>
          <w:ilvl w:val="0"/>
          <w:numId w:val="7"/>
        </w:numPr>
        <w:spacing w:before="0" w:after="40"/>
        <w:jc w:val="left"/>
        <w:rPr>
          <w:rStyle w:val="tal1"/>
          <w:rFonts w:ascii="Arial" w:hAnsi="Arial" w:cs="Arial"/>
          <w:sz w:val="18"/>
          <w:szCs w:val="18"/>
        </w:rPr>
      </w:pPr>
      <w:r>
        <w:rPr>
          <w:rStyle w:val="tal1"/>
          <w:rFonts w:eastAsia="Arial" w:cs="Arial" w:ascii="Arial" w:hAnsi="Arial"/>
          <w:color w:val="auto"/>
          <w:spacing w:val="0"/>
          <w:w w:val="100"/>
          <w:sz w:val="20"/>
          <w:szCs w:val="20"/>
          <w:lang w:val="ro-RO"/>
        </w:rPr>
        <w:t xml:space="preserve">Conform H.G. 1425/ 2006, art. 55, reprezentanții lucrătorilor cu răspunderi specifice în domeniul securității și sănătății în muncă trebuie să urmeze un program de pregătire în domeniul securității și sănătății în muncă, cu o durată de cel puțin 40 de ore, cu conținutul minim conform celui prevăzut în anexa nr. 6 lit. A; îndeplinirea cerinței se atestă printr-un document de absolvire a programului de pregătire.</w:t>
      </w:r>
    </w:p>
    <w:p>
      <w:pPr>
        <w:pStyle w:val="Normal"/>
        <w:keepNext/>
        <w:widowControl/>
        <w:numPr>
          <w:ilvl w:val="0"/>
          <w:numId w:val="7"/>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hotărî prin vot secret </w:t>
      </w:r>
      <w:r>
        <w:rPr>
          <w:rStyle w:val="tal1"/>
          <w:rFonts w:eastAsia="Arial" w:cs="Arial" w:ascii="Arial" w:hAnsi="Arial"/>
          <w:color w:val="auto"/>
          <w:spacing w:val="0"/>
          <w:w w:val="100"/>
          <w:sz w:val="20"/>
          <w:szCs w:val="20"/>
          <w:lang w:val="ro-RO"/>
        </w:rPr>
        <w:t xml:space="preserve">reprezentanții lucrătorilor </w:t>
      </w:r>
      <w:r>
        <w:rPr>
          <w:rStyle w:val="tpa1"/>
          <w:rFonts w:eastAsia="Arial" w:cs="Arial" w:ascii="Arial" w:hAnsi="Arial"/>
          <w:color w:val="auto"/>
          <w:spacing w:val="0"/>
          <w:w w:val="100"/>
          <w:sz w:val="20"/>
          <w:szCs w:val="20"/>
          <w:lang w:val="ro-RO"/>
        </w:rPr>
        <w:t xml:space="preserve">cu răspunderi specifice în domeniul securității și sănătății în muncă, potrivit listei de semnături ce constituie anexa la procesul-verbal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procesul-verbal de întrunire a adunării generale a salariaților va fi încheiat în 3 (trei) exemplare, din care un exemplar pentru reprezentanții salariaților și două exemplare la angajator sau la persoana desemnată de acesta;</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pentru ca alegerea să fie validată,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atribuțiile reprezentanților lucrătorilor cu răspunderi specifice în domeniul securității și sănătății în muncă vor fi specificate în fișa postului pentru fiecare lucrător ales.</w:t>
      </w:r>
    </w:p>
    <w:p>
      <w:pPr>
        <w:pStyle w:val="Normal"/>
        <w:widowControl/>
        <w:numPr>
          <w:ilvl w:val="0"/>
          <w:numId w:val="7"/>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7"/>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sub </w:t>
      </w:r>
      <w:r>
        <w:rPr>
          <w:rStyle w:val="al1"/>
          <w:rFonts w:eastAsia="Arial" w:cs="Arial" w:ascii="Arial" w:hAnsi="Arial"/>
          <w:color w:val="auto"/>
          <w:spacing w:val="0"/>
          <w:w w:val="100"/>
          <w:sz w:val="20"/>
          <w:szCs w:val="20"/>
          <w:lang w:val="ro-RO"/>
        </w:rPr>
        <w:t>50</w:t>
      </w:r>
      <w:r>
        <w:rPr>
          <w:rStyle w:val="al1"/>
          <w:rFonts w:eastAsia="Arial" w:cs="Arial" w:ascii="Arial" w:hAnsi="Arial"/>
          <w:b w:val="false"/>
          <w:color w:val="auto"/>
          <w:spacing w:val="0"/>
          <w:w w:val="100"/>
          <w:sz w:val="20"/>
          <w:szCs w:val="20"/>
          <w:lang w:val="ro-RO"/>
        </w:rPr>
        <w:t xml:space="preserve"> de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Comitetul de securitate și sănătate în muncă este constituit din reprezentanții lucrătorilor cu răspunderi specifice în domeniul securității și sănătății lucrătorilor, pe de o parte, și angajatorul sau reprezentantul său legal și/ sau reprezentanții săi în număr egal cu cel al reprezentanților lucrătorilor și medicul de medicina muncii, pe de altă parte.</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adusă la cunoștința tuturor lucrătorilor.</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7"/>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 al</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materiale necesare informării și educării angajaților: afișe, pliante, teste, fișe tehnice de securitate, carto etc.;</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 xml:space="preserve">Prin discriminare se înțelege orice deosebire, excludere, restricție sau preferință, pe bază de rasă, naționalitate, etnie, limbă, religie, categorie socială, convingeri, gen, orientare sexuală, vârstă, dizabilitate, boală cronică necontagioasă, infectare HIV ori apartenență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keepNext/>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anunțarea, organizarea concursurilor sau examenelor și selecția;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candidaților pentru posturile vacante;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performanțelor profesionale individuale;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formarea, perfecționarea, reconversia și promovarea profesională;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color w:val="auto"/>
          <w:spacing w:val="0"/>
          <w:w w:val="100"/>
          <w:sz w:val="20"/>
          <w:szCs w:val="20"/>
          <w:lang w:val="ro-RO"/>
        </w:rPr>
        <w:t xml:space="preserve">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keepNext/>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influențarea negativă a situației lucrătorului în ceea ce privește promovarea profesională, remunerația sau veniturile de orice natură ori accesul la formarea și perfecționarea profesională, în cazul refuzului acestuia de a accepta un comportament nedorit, ce ține de viața sexuală.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lang w:val="ro-RO"/>
        </w:rPr>
        <w:t>Reglementări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keepNext/>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salariata gravidă va anunța</w:t>
      </w:r>
      <w:r>
        <w:rPr>
          <w:rFonts w:eastAsia="Arial" w:cs="Arial" w:ascii="Arial" w:hAnsi="Arial"/>
          <w:color w:val="auto"/>
          <w:spacing w:val="0"/>
          <w:w w:val="100"/>
          <w:sz w:val="20"/>
          <w:szCs w:val="20"/>
          <w:lang w:val="ro-RO"/>
        </w:rPr>
        <w:t xml:space="preserve"> în scris angajatorul asupra stării sale fiziologice de graviditate, va depune în copie Anexa pentru supravegherea medicală a gravidei – document medical, completat de medic, însoțită de o cerere care conține informații referitoare la starea de maternitate și solicitarea de a i se aplica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18"/>
          <w:szCs w:val="18"/>
          <w:lang w:val="it-CH"/>
        </w:rPr>
      </w:pPr>
      <w:r>
        <w:rPr>
          <w:rFonts w:eastAsia="Arial" w:cs="Arial" w:ascii="Arial" w:hAnsi="Arial"/>
          <w:color w:val="auto"/>
          <w:spacing w:val="0"/>
          <w:w w:val="100"/>
          <w:sz w:val="20"/>
          <w:szCs w:val="20"/>
          <w:lang w:val="ro-RO"/>
        </w:rPr>
        <w:t xml:space="preserve">salariata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18"/>
          <w:szCs w:val="18"/>
          <w:lang w:val="it-CH"/>
        </w:rPr>
      </w:pPr>
      <w:r>
        <w:rPr>
          <w:rFonts w:eastAsia="Arial" w:cs="Arial" w:ascii="Arial" w:hAnsi="Arial"/>
          <w:color w:val="auto"/>
          <w:spacing w:val="0"/>
          <w:w w:val="100"/>
          <w:sz w:val="20"/>
          <w:szCs w:val="20"/>
          <w:lang w:val="ro-RO"/>
        </w:rPr>
        <w:t xml:space="preserve">salariata care alăptează, la reluarea</w:t>
      </w:r>
      <w:r>
        <w:rPr>
          <w:rStyle w:val="tli1"/>
          <w:rFonts w:eastAsia="Arial" w:cs="Arial" w:ascii="Arial" w:hAnsi="Arial"/>
          <w:color w:val="auto"/>
          <w:spacing w:val="0"/>
          <w:w w:val="100"/>
          <w:sz w:val="20"/>
          <w:szCs w:val="20"/>
          <w:lang w:val="ro-RO"/>
        </w:rPr>
        <w:t xml:space="preserve"> activității după efectuarea concediului de lăuzie, va anunța angajatorul în scris cu privire la începutul și sfârșitul prezumat al perioadei de alăptare, anexând documente medicale eliberate de medicul de familie/ medicul specialist în acest sens care vor cuprinde și recomandări cu privire la capacitatea de muncă a acesteia.</w:t>
      </w:r>
    </w:p>
    <w:p>
      <w:pPr>
        <w:pStyle w:val="Normal"/>
        <w:keepNext/>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 xml:space="preserve">Salariatele gravide, lăuze sau care alăptează au următoarele obligații:</w:t>
      </w:r>
    </w:p>
    <w:p>
      <w:pPr>
        <w:pStyle w:val="Normal"/>
        <w:widowControl/>
        <w:numPr>
          <w:ilvl w:val="0"/>
          <w:numId w:val="4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 xml:space="preserve">salariata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maximum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Pentru toate activitățile susceptibile să prezinte un risc specific de expunere la agenți, procedee și condiții de muncă, a căror listă este prevăzută în anexa nr. 1 din O.U.G. nr. 96/ 2003, angajatorul este obligat să evalueze anual și să întocmească rapoarte de evaluare, cu participarea medicului de medicina muncii, cu privire la natura,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vor informa în scris salariatele asupra rezultatelor evaluării privind riscurile la care pot fi supuse la locurile lor de muncă, precum și asupra drepturilor care decurg din O.U.G. nr. 96/ 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În termen de 10 zile lucrătoare de la data la care angajatorul a fost anunțat în scris de către o salariată că se află în una dintre situațiile prevăzute la art. 2 lit. c)–e) din O.U.G. nr. 96/ 2003, acesta</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are obligația să înștiințeze medicul de medicina muncii, precum și inspectoratul teritorial de muncă pe a cărui rază își desfășoară activitatea.</w:t>
      </w:r>
    </w:p>
    <w:p>
      <w:pPr>
        <w:pStyle w:val="Normal"/>
        <w:keepNext/>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să prevină expunerea salariatelor gravide, lăuze sau care alăptează la riscuri</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18"/>
          <w:szCs w:val="18"/>
          <w:lang w:val="it-CH"/>
        </w:rPr>
      </w:pPr>
      <w:r>
        <w:rPr>
          <w:rStyle w:val="tpa1"/>
          <w:rFonts w:eastAsia="Arial" w:cs="Arial" w:ascii="Arial" w:hAnsi="Arial"/>
          <w:color w:val="auto"/>
          <w:spacing w:val="0"/>
          <w:w w:val="100"/>
          <w:sz w:val="20"/>
          <w:szCs w:val="20"/>
          <w:lang w:val="ro-RO"/>
        </w:rPr>
        <w:t>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18"/>
          <w:szCs w:val="18"/>
          <w:lang w:val="it-CH"/>
        </w:rPr>
      </w:pPr>
      <w:r>
        <w:rPr>
          <w:rStyle w:val="tpa1"/>
          <w:rFonts w:eastAsia="Arial" w:cs="Arial" w:ascii="Arial" w:hAnsi="Arial"/>
          <w:color w:val="auto"/>
          <w:spacing w:val="0"/>
          <w:w w:val="100"/>
          <w:sz w:val="20"/>
          <w:szCs w:val="20"/>
          <w:lang w:val="ro-RO"/>
        </w:rPr>
        <w:t xml:space="preserve">să modifice locul de muncă al salariatelor gravide, lăuze sau care alăptează, care își</w:t>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18"/>
          <w:szCs w:val="18"/>
          <w:lang w:val="fr-FR"/>
        </w:rPr>
      </w:pPr>
      <w:r>
        <w:rPr>
          <w:rStyle w:val="tal1"/>
          <w:rFonts w:eastAsia="Arial" w:cs="Arial" w:ascii="Arial" w:hAnsi="Arial"/>
          <w:color w:val="auto"/>
          <w:spacing w:val="0"/>
          <w:w w:val="100"/>
          <w:sz w:val="20"/>
          <w:szCs w:val="20"/>
          <w:lang w:val="ro-RO"/>
        </w:rPr>
        <w:t xml:space="preserve">să transfere la un alt loc de muncă, cu menținerea salariului de bază brut lunar, salariatele gravide, lăuze sau care alăptează, care desfășoară</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gravide, lăuze sau care alăptează, care desfășoară</w:t>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 xml:space="preserve">să modifice în mod corespunzător condițiile și/ sau orarul de muncă ori să o repartizeze la alt loc de muncă, conform recomandării medicului de medicina muncii sau a medicului de familie, cu menținerea veniturilor salariale.</w:t>
      </w:r>
    </w:p>
    <w:p>
      <w:pPr>
        <w:pStyle w:val="Normal"/>
        <w:keepNext/>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 xml:space="preserve">În cazul în care angajatorul, din motive justificate în mod obiectiv, nu poate să îndeplinească obligația prevăzută la art. 9 alin. (2) din O.U.G. nr. 96/ 2003 (punctul 9 de mai sus), salariatele gravide, lăuze sau care alăptează au dreptul</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înainte sau după nașterea copilului, pentru salariata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O.U.G. nr. 158/ 2005, aprobată cu modificări și completări prin Legea nr. 399/ 2006, cu modificările și completările ulterioare.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18"/>
        <w:szCs w:val="18"/>
        <w:lang w:val="it-IT"/>
      </w:rPr>
    </w:lvl>
    <w:lvl w:ilvl="3">
      <w:start w:val="1"/>
      <w:numFmt w:val="decimal"/>
      <w:lvlText w:val="%4."/>
      <w:lvlJc w:val="left"/>
      <w:pPr>
        <w:tabs>
          <w:tab w:val="num" w:pos="720"/>
        </w:tabs>
        <w:ind w:left="720" w:hanging="360"/>
      </w:pPr>
      <w:rPr>
        <w:b/>
        <w:i w:val="false"/>
        <w:sz w:val="18"/>
        <w:szCs w:val="18"/>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18"/>
        <w:szCs w:val="18"/>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52">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 w:numId="53">
    <w:abstractNumId w:val="5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17009</Words>
  <Characters>102089</Characters>
  <CharactersWithSpaces>117734</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2026-09-19T01:22:11Z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