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LISTA INTERNĂ CU NECESARUL DE DOTARE CU ECHIPAMENT INDIVIDUAL DE PROTECȚIE (E.I.P.) A LUCRĂTORILOR</w:t>
      </w:r>
    </w:p>
    <w:p>
      <w:pPr>
        <w:pStyle w:val="Normal"/>
        <w:widowControl/>
        <w:spacing w:before="0" w:after="240"/>
        <w:ind w:hanging="0"/>
        <w:jc w:val="center"/>
        <w:rPr>
          <w:rFonts w:ascii="Arial" w:hAnsi="Arial" w:cs="Arial"/>
          <w:b/>
          <w:color w:val="0000FF"/>
          <w:sz w:val="20"/>
          <w:szCs w:val="20"/>
        </w:rPr>
      </w:pPr>
      <w:r>
        <w:rPr>
          <w:rFonts w:eastAsia="Arial" w:cs="Arial" w:ascii="Arial" w:hAnsi="Arial"/>
          <w:b/>
          <w:color w:val="auto"/>
          <w:spacing w:val="0"/>
          <w:w w:val="100"/>
          <w:sz w:val="20"/>
          <w:szCs w:val="20"/>
          <w:lang w:val="ro-RO"/>
        </w:rPr>
        <w:t xml:space="preserve">DIN CADRUL </w:t>
      </w:r>
      <w:r>
        <w:rPr>
          <w:rFonts w:eastAsia="Arial" w:cs="Arial" w:ascii="Arial" w:hAnsi="Arial"/>
          <w:b/>
          <w:color w:val="auto"/>
          <w:spacing w:val="0"/>
          <w:w w:val="100"/>
          <w:sz w:val="20"/>
          <w:szCs w:val="20"/>
          <w:lang w:val="ro-RO"/>
        </w:rPr>
        <w:t>{{client.legalName}}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spacing w:before="0" w:after="120"/>
        <w:ind w:hanging="0" w:right="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Conform Legii 319/ 2006 – Legea securității și sănătății în muncă, </w:t>
      </w:r>
      <w:r>
        <w:rPr>
          <w:rFonts w:eastAsia="Arial" w:cs="Arial" w:ascii="Arial" w:hAnsi="Arial"/>
          <w:b/>
          <w:bCs/>
          <w:color w:val="auto"/>
          <w:spacing w:val="0"/>
          <w:w w:val="100"/>
          <w:sz w:val="20"/>
          <w:szCs w:val="20"/>
          <w:lang w:val="ro-RO"/>
        </w:rPr>
        <w:t>«</w:t>
      </w:r>
      <w:r>
        <w:rPr>
          <w:rFonts w:eastAsia="Arial" w:cs="Arial" w:ascii="Arial" w:hAnsi="Arial"/>
          <w:bCs/>
          <w:color w:val="auto"/>
          <w:spacing w:val="0"/>
          <w:w w:val="100"/>
          <w:sz w:val="20"/>
          <w:szCs w:val="20"/>
          <w:lang w:val="ro-RO"/>
        </w:rPr>
        <w:t xml:space="preserve"> Art. 12 alin. (1)</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Angajatorul trebuie: (...) </w:t>
      </w:r>
      <w:r>
        <w:rPr>
          <w:rFonts w:eastAsia="Arial" w:cs="Arial" w:ascii="Arial" w:hAnsi="Arial"/>
          <w:bCs/>
          <w:color w:val="auto"/>
          <w:spacing w:val="0"/>
          <w:w w:val="100"/>
          <w:sz w:val="20"/>
          <w:szCs w:val="20"/>
          <w:lang w:val="ro-RO"/>
        </w:rPr>
        <w:t>b)</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decidă asupra măsurilor de protecție care trebuie luate și, după caz, asupra echipamentului de protecție care trebuie utilizat; </w:t>
      </w:r>
      <w:r>
        <w:rPr>
          <w:rFonts w:eastAsia="Arial" w:cs="Arial" w:ascii="Arial" w:hAnsi="Arial"/>
          <w:b/>
          <w:bCs/>
          <w:color w:val="auto"/>
          <w:spacing w:val="0"/>
          <w:w w:val="100"/>
          <w:sz w:val="20"/>
          <w:szCs w:val="20"/>
          <w:lang w:val="ro-RO"/>
        </w:rPr>
        <w:t>»</w:t>
      </w:r>
    </w:p>
    <w:p>
      <w:pPr>
        <w:pStyle w:val="Normal"/>
        <w:widowControl/>
        <w:spacing w:before="0" w:after="120"/>
        <w:ind w:hanging="0" w:right="0"/>
        <w:jc w:val="left"/>
        <w:rPr>
          <w:rFonts w:ascii="Arial" w:hAnsi="Arial" w:cs="Arial"/>
          <w:b/>
          <w:bCs/>
          <w:sz w:val="20"/>
          <w:szCs w:val="20"/>
          <w:lang w:val="ro-RO"/>
        </w:rPr>
      </w:pPr>
      <w:r>
        <w:rPr>
          <w:rStyle w:val="ar1"/>
          <w:rFonts w:eastAsia="Arial" w:cs="Arial" w:ascii="Arial" w:hAnsi="Arial"/>
          <w:b w:val="false"/>
          <w:color w:val="auto"/>
          <w:spacing w:val="0"/>
          <w:w w:val="100"/>
          <w:sz w:val="20"/>
          <w:szCs w:val="20"/>
          <w:lang w:val="ro-RO"/>
        </w:rPr>
        <w:t xml:space="preserve">Pentru a aduce la îndeplinire cerințele Legii 319/ 2006 și cerințele H.G. 1425/ 2006, Art. 15</w:t>
      </w:r>
      <w:r>
        <w:rPr>
          <w:rStyle w:val="al1"/>
          <w:rFonts w:eastAsia="Arial" w:cs="Arial" w:ascii="Arial" w:hAnsi="Arial"/>
          <w:b w:val="false"/>
          <w:color w:val="auto"/>
          <w:spacing w:val="0"/>
          <w:w w:val="100"/>
          <w:sz w:val="20"/>
          <w:szCs w:val="20"/>
          <w:lang w:val="ro-RO"/>
        </w:rPr>
        <w:t xml:space="preserve"> alin. (1) </w:t>
      </w:r>
      <w:r>
        <w:rPr>
          <w:rFonts w:eastAsia="Arial" w:cs="Arial" w:ascii="Arial" w:hAnsi="Arial"/>
          <w:color w:val="auto"/>
          <w:spacing w:val="0"/>
          <w:w w:val="100"/>
          <w:sz w:val="20"/>
          <w:szCs w:val="20"/>
          <w:lang w:val="ro-RO"/>
        </w:rPr>
        <w:t>punctul</w:t>
      </w:r>
      <w:r>
        <w:rPr>
          <w:rFonts w:eastAsia="Arial" w:cs="Arial" w:ascii="Arial" w:hAnsi="Arial"/>
          <w:b/>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20: </w:t>
      </w:r>
      <w:r>
        <w:rPr>
          <w:rStyle w:val="tal1"/>
          <w:rFonts w:eastAsia="Arial" w:cs="Arial" w:ascii="Arial" w:hAnsi="Arial"/>
          <w:color w:val="auto"/>
          <w:spacing w:val="0"/>
          <w:w w:val="100"/>
          <w:sz w:val="20"/>
          <w:szCs w:val="20"/>
          <w:lang w:val="ro-RO"/>
        </w:rPr>
        <w:t>Activitățile de prevenire și protecție desfășurate prin modalitățile prevăzute la art. 14 în cadrul unității sunt următoarele:</w:t>
      </w:r>
      <w:bookmarkStart w:id="0" w:name="do|caIII|si2|ar15|al1|pt20"/>
      <w:r>
        <w:rPr>
          <w:rFonts w:eastAsia="Arial" w:cs="Arial" w:ascii="Arial" w:hAnsi="Arial"/>
          <w:b/>
          <w:color w:val="auto"/>
          <w:spacing w:val="0"/>
          <w:w w:val="100"/>
          <w:sz w:val="20"/>
          <w:szCs w:val="20"/>
          <w:lang w:val="ro-RO"/>
        </w:rPr>
        <w:t xml:space="preserve"> </w:t>
      </w:r>
      <w:bookmarkEnd w:id="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H.G. </w:t>
      </w:r>
      <w:r>
        <w:rPr>
          <w:rFonts w:eastAsia="Arial" w:cs="Arial" w:ascii="Arial" w:hAnsi="Arial"/>
          <w:b w:val="false"/>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keepNext w:val="true"/>
        <w:widowControl/>
        <w:spacing w:before="0" w:after="120"/>
        <w:ind w:hanging="0"/>
        <w:jc w:val="left"/>
        <w:rPr>
          <w:rStyle w:val="tal1"/>
          <w:rFonts w:ascii="Arial" w:hAnsi="Arial" w:cs="Arial"/>
          <w:sz w:val="20"/>
          <w:szCs w:val="20"/>
          <w:lang w:val="ro-RO"/>
        </w:rPr>
      </w:pPr>
      <w:r>
        <w:rPr>
          <w:rStyle w:val="tal1"/>
          <w:rFonts w:eastAsia="Arial" w:cs="Arial" w:ascii="Arial" w:hAnsi="Arial"/>
          <w:color w:val="auto"/>
          <w:spacing w:val="0"/>
          <w:w w:val="100"/>
          <w:sz w:val="20"/>
          <w:szCs w:val="20"/>
          <w:lang w:val="ro-RO"/>
        </w:rPr>
        <w:t>S-au luat în considerare următoarele posturi de lucru și activitățile desfășurate în cadrul {{cli</w:t>
      </w:r>
      <w:r>
        <w:rPr>
          <w:rStyle w:val="PageNumber"/>
          <w:rFonts w:eastAsia="Arial" w:cs="Arial" w:ascii="Arial" w:hAnsi="Arial"/>
          <w:color w:val="auto"/>
          <w:spacing w:val="0"/>
          <w:w w:val="100"/>
          <w:sz w:val="20"/>
          <w:szCs w:val="20"/>
          <w:lang w:val="ro-RO"/>
        </w:rPr>
        <w:t>ent.legalName}</w:t>
      </w:r>
      <w:r>
        <w:rPr>
          <w:rStyle w:val="tal1"/>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700"/>
        <w:gridCol w:w="2800"/>
        <w:gridCol w:w="3970"/>
        <w:gridCol w:w="1885"/>
      </w:tblGrid>
      <w:tr>
        <w:trPr>
          <w:tblHeader w:val="true"/>
        </w:trPr>
        <w:tc>
          <w:tcPr>
            <w:tcW w:w="70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80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397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Activități desfășurate</w:t>
            </w:r>
          </w:p>
        </w:tc>
        <w:tc>
          <w:tcPr>
            <w:tcW w:w="1885"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Categorie de personal</w:t>
            </w:r>
          </w:p>
        </w:tc>
      </w:tr>
      <w:tr>
        <w:trPr>
          <w:cantSplit/>
        </w:trPr>
        <w:tc>
          <w:tcPr>
            <w:tcW w:w="70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80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397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{{activities}}</w:t>
            </w:r>
          </w:p>
        </w:tc>
        <w:tc>
          <w:tcPr>
            <w:tcW w:w="1885"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{{staffCategory}}{{/positions}}</w:t>
            </w:r>
          </w:p>
        </w:tc>
      </w:tr>
    </w:tbl>
    <w:p>
      <w:pPr>
        <w:pStyle w:val="Normal"/>
        <w:keepNext/>
        <w:widowControl/>
        <w:spacing w:before="12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CERINȚE MINIME</w:t>
      </w:r>
    </w:p>
    <w:p>
      <w:pPr>
        <w:pStyle w:val="Normal"/>
        <w:keepNext/>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DE SECURITATE ȘI SĂNĂTATE PENTRU ACORDAREA ȘI UTILIZAREA DE CĂTRE LUCRĂTORI A E.I.P. LA LOCUL DE MUNCĂ</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Hotărârea 1048/09.08.2006 stabilește cerințele minime referitoare la echipamentul individual de protecție utilizat de lucrători la locul de muncă.</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Prevederile Legii securității și sănătății în muncă nr. 319/2006 se aplică în totalitate domeniului menționat la art. 1, fără a aduce atingere dispozițiilor mai restrictive și/sau specifice cuprinse în prezenta hotărâre.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Sunt excluse din definiția cuprinsă la Art. 3:</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îmbrăcămintea de lucru și uniformele obișnuite care nu sunt proiectate în mod special pentru a proteja securitatea și sănătatea lucrătorului;</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folosit de serviciile de urgență și salvare;</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echipamentul individual de protecție purtat sau folosit de armată, poliție ori de alte instituții de ordine publică;</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pentru mijloace de transport rutier;</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sportiv;</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de autoapărare sau de descurajare;</w:t>
      </w:r>
    </w:p>
    <w:p>
      <w:pPr>
        <w:pStyle w:val="Normal"/>
        <w:widowControl/>
        <w:numPr>
          <w:ilvl w:val="0"/>
          <w:numId w:val="31"/>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dispozitivele purtabile pentru detectarea și semnalizarea riscurilor și factorilor nocivi.</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Obligațiile angajatorilor</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Echipamentul individual de protecție trebuie să respecte prevederile Hotărârii Guvernului nr. 115/2004 privind stabilirea cerințelor esențiale de securitate ale echipamentelor individuale de protecție și a condițiilor pentru introducerea lor pe piață, cu modificările ulterioare.</w:t>
      </w:r>
    </w:p>
    <w:p>
      <w:pPr>
        <w:pStyle w:val="Normal"/>
        <w:keepNext/>
        <w:widowControl/>
        <w:spacing w:before="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Orice echipament individual de protecție trebuie să îndeplinească următoarele condiții:</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fie corespunzător pentru riscurile implicate, fără să conducă el însuși la un risc mărit;</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corespundă condițiilor existente la locul de muncă;</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ia în considerare cerințele ergonomice și starea sănătății lucrătorului;</w:t>
      </w:r>
    </w:p>
    <w:p>
      <w:pPr>
        <w:pStyle w:val="Normal"/>
        <w:widowControl/>
        <w:numPr>
          <w:ilvl w:val="0"/>
          <w:numId w:val="2"/>
        </w:numPr>
        <w:spacing w:before="0" w:after="120"/>
        <w:ind w:right="0"/>
        <w:jc w:val="left"/>
        <w:rPr>
          <w:rFonts w:ascii="Arial" w:hAnsi="Arial" w:cs="Arial"/>
          <w:sz w:val="20"/>
          <w:szCs w:val="20"/>
        </w:rPr>
      </w:pPr>
      <w:r>
        <w:rPr>
          <w:rFonts w:eastAsia="Arial" w:cs="Arial" w:ascii="Arial" w:hAnsi="Arial"/>
          <w:color w:val="auto"/>
          <w:spacing w:val="0"/>
          <w:w w:val="100"/>
          <w:sz w:val="20"/>
          <w:szCs w:val="20"/>
          <w:lang w:val="ro-RO"/>
        </w:rPr>
        <w:t xml:space="preserve">să se potrivească în mod corect persoanei care îl poartă, după toate ajustările necesare.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În cazul în care prezența unor riscuri multiple impune purtarea simultană a mai multor echipamente individuale de protecție, aceste echipamente trebuie să fie compatibile și să își păstreze eficacitatea în raport cu riscul/riscurile respectiv/respective.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este, în principiu, destinat purtării de către o singură persoană.</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(2) 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30"/>
        </w:numPr>
        <w:tabs>
          <w:tab w:val="clear" w:pos="720"/>
          <w:tab w:val="left" w:pos="900" w:leader="none"/>
          <w:tab w:val="left" w:pos="1080" w:leader="none"/>
          <w:tab w:val="left" w:pos="1170" w:leader="none"/>
          <w:tab w:val="left" w:pos="126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În cadrul întreprinderii și/sau unității trebuie să se furnizeze și să fie disponibile informații adecvate privind fiecare echipament individual de protecție impus în conformitate cu art. 5 și 6.</w:t>
      </w:r>
    </w:p>
    <w:p>
      <w:pPr>
        <w:pStyle w:val="Normal"/>
        <w:widowControl/>
        <w:numPr>
          <w:ilvl w:val="0"/>
          <w:numId w:val="30"/>
        </w:numPr>
        <w:tabs>
          <w:tab w:val="clear" w:pos="720"/>
          <w:tab w:val="left" w:pos="900" w:leader="none"/>
          <w:tab w:val="left" w:pos="117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Echipamentul individual de protecție se distribuie gratuit de angajator, care asigură buna sa funcționare și o stare de igienă satisfăcătoare prin intermediul întreținerii, reparării și înlocuirilor necesare.</w:t>
      </w:r>
    </w:p>
    <w:p>
      <w:pPr>
        <w:pStyle w:val="Normal"/>
        <w:widowControl/>
        <w:tabs>
          <w:tab w:val="clear" w:pos="720"/>
          <w:tab w:val="left" w:pos="900" w:leader="none"/>
          <w:tab w:val="left" w:pos="1350" w:leader="none"/>
        </w:tabs>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Ministerul Muncii, Solidarității Sociale și Familiei poate stabili dispoziții pe baza cărora să se impună ca lucrătorul să contribuie la costul unui anumit echipament individual de protecție, în situațiile în care utilizarea echipamentului nu este exclusiv pentru locul de muncă.</w:t>
      </w:r>
    </w:p>
    <w:p>
      <w:pPr>
        <w:pStyle w:val="Normal"/>
        <w:widowControl/>
        <w:numPr>
          <w:ilvl w:val="0"/>
          <w:numId w:val="30"/>
        </w:numPr>
        <w:tabs>
          <w:tab w:val="clear" w:pos="720"/>
          <w:tab w:val="left" w:pos="900" w:leader="none"/>
          <w:tab w:val="left" w:pos="99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Angajatorul informează mai întâi lucrătorul despre riscurile împotriva cărora îl protejează purtarea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Angajatorul asigură instruirea lucrătorului și, dacă este cazul, organizează antrenamente pentru modul de purtare 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poate fi utilizat numai în scopurile specificate și în conformitate cu fișa de instrucțiuni, cu excepția împrejurărilor specifice și excepționale.</w:t>
      </w:r>
    </w:p>
    <w:p>
      <w:pPr>
        <w:pStyle w:val="Normal"/>
        <w:widowControl/>
        <w:spacing w:before="0" w:after="12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Instrucțiunile trebuie să fie pe înțelesul lucrătorilor.</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Evaluarea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Înainte de a alege echipamentul individual de protecție, angajatorul trebuie să evalueze dacă echipamentul individual de protecție pe care intenționează să îl folosească îndeplinește cerințele prevăzute la art. 6 și 7.</w:t>
      </w:r>
    </w:p>
    <w:p>
      <w:pPr>
        <w:pStyle w:val="Normal"/>
        <w:keepNext/>
        <w:widowControl/>
        <w:spacing w:before="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(2) Această evaluare cuprinde:</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analiza și evaluarea riscurilor care nu pot fi evitate prin alte mijloace;</w:t>
      </w:r>
    </w:p>
    <w:p>
      <w:pPr>
        <w:pStyle w:val="Normal"/>
        <w:widowControl/>
        <w:numPr>
          <w:ilvl w:val="0"/>
          <w:numId w:val="29"/>
        </w:numPr>
        <w:spacing w:before="0" w:after="40"/>
        <w:ind w:right="288"/>
        <w:jc w:val="left"/>
        <w:rPr>
          <w:rFonts w:ascii="Arial" w:hAnsi="Arial" w:cs="Arial"/>
          <w:sz w:val="20"/>
          <w:szCs w:val="20"/>
        </w:rPr>
      </w:pPr>
      <w:r>
        <w:rPr>
          <w:rFonts w:eastAsia="Arial" w:cs="Arial" w:ascii="Arial" w:hAnsi="Arial"/>
          <w:color w:val="auto"/>
          <w:spacing w:val="0"/>
          <w:w w:val="100"/>
          <w:sz w:val="20"/>
          <w:szCs w:val="20"/>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29"/>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compararea caracteristicilor echipamentului individual de protecție disponibil cu caracteristicile prevăzute la lit. b).</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Evaluarea prevăzută la art. 15 este revizuită în funcție de modificările aduse oricărui element al echipamentului individual de protecție.</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Reguli de utilizare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Fără a aduce atingere prevederilor art. 6-16, Ministerul Muncii, Solidarității Sociale și Familiei stabilește reguli generale pentru utilizarea echipamentului individual de protecție și/sau reguli care reglementează cazurile și situațiile în care angajatorul trebuie să furnizeze echipamentul individual de protecție, luând în considerare reglementările tehnice române care transpun legislația comunitară privind libera circulație a acestui echipament.</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Aceste reguli indică, în special, împrejurările sau situațiile de risc în care este necesară utilizarea echipamentului individual de protecție, fără a aduce atingere priorității care trebuie să se acorde mijloacelor de protecție colectivă.</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(3) Anexele nr. 1-3 au un caracter orientativ, conțin informații utile pentru stabilirea acestor reguli.</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Atunci când Ministerul Muncii, Solidarității Sociale și Familiei adaptează regulile prevăzute la art. 17, acesta ia în considerare orice modificări semnificative ale riscului, mijloacelor de protecție colectivă și echipamentelor individuale de protecție, determinate de evoluțiile tehnologice.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Ministerul Muncii, Solidarității Sociale și Familiei consultă organizațiile angajatorilor și lucrătorilor cu privire la regulile prevăzute la art. 17 și 18.</w:t>
      </w:r>
    </w:p>
    <w:p>
      <w:pPr>
        <w:pStyle w:val="Normal"/>
        <w:keepNext/>
        <w:widowControl/>
        <w:tabs>
          <w:tab w:val="clear" w:pos="720"/>
          <w:tab w:val="left" w:pos="6300" w:leader="none"/>
        </w:tabs>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Informarea, consultarea și participarea lucrătorilor</w:t>
      </w:r>
    </w:p>
    <w:p>
      <w:pPr>
        <w:pStyle w:val="Normal"/>
        <w:widowControl/>
        <w:numPr>
          <w:ilvl w:val="0"/>
          <w:numId w:val="30"/>
        </w:numPr>
        <w:spacing w:before="120" w:after="60"/>
        <w:ind w:left="432" w:right="288" w:hanging="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
      </w:r>
      <w:r>
        <w:rPr>
          <w:rFonts w:eastAsia="Arial" w:cs="Arial" w:ascii="Arial" w:hAnsi="Arial"/>
          <w:color w:val="auto"/>
          <w:spacing w:val="0"/>
          <w:w w:val="100"/>
          <w:sz w:val="20"/>
          <w:szCs w:val="20"/>
          <w:lang w:val="ro-RO"/>
        </w:rPr>
        <w:t xml:space="preserve">Fără a aduce atingere prevederilor art. 16 din Legea securității și sănătății în muncă nr. 319/2006, lucrătorii și/sau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30"/>
        </w:numPr>
        <w:spacing w:before="120" w:after="60"/>
        <w:ind w:left="432" w:right="288" w:hanging="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
      </w:r>
      <w:r>
        <w:rPr>
          <w:rFonts w:eastAsia="Arial" w:cs="Arial" w:ascii="Arial" w:hAnsi="Arial"/>
          <w:color w:val="auto"/>
          <w:spacing w:val="0"/>
          <w:w w:val="100"/>
          <w:sz w:val="20"/>
          <w:szCs w:val="20"/>
          <w:lang w:val="ro-RO"/>
        </w:rPr>
        <w:t xml:space="preserve">Consultarea și participarea lucrătorilor și/sau a reprezentanților acestora cu privire la problemele la care se face referire în acest document, inclusiv în anexele acestuia, se desfășoară în conformitate cu prevederile art. 18 din Legea nr. 319/2006.</w:t>
      </w:r>
    </w:p>
    <w:p>
      <w:pPr>
        <w:pStyle w:val="Normal"/>
        <w:keepNext/>
        <w:widowControl/>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1</w:t>
      </w:r>
      <w:r>
        <w:br/>
      </w:r>
      <w:r>
        <w:rPr>
          <w:rFonts w:eastAsia="Arial" w:cs="Arial" w:ascii="Arial" w:hAnsi="Arial"/>
          <w:b/>
          <w:bCs/>
          <w:color w:val="auto"/>
          <w:spacing w:val="0"/>
          <w:w w:val="100"/>
          <w:sz w:val="20"/>
          <w:szCs w:val="20"/>
          <w:lang w:val="ro-RO"/>
        </w:rPr>
        <w:t>Riscuri care pot genera accidente de muncă și boli profesionale: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Căderi de la înălțime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Lovituri, tăieturi, impact, strivire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Înțepături, tăieturi, zgârieturi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Vibrații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Alunecare, cădere la același nivel</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Căldură, foc</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Frig</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Pulberi, fibre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Fum</w:t>
      </w:r>
    </w:p>
    <w:p>
      <w:pPr>
        <w:pStyle w:val="Normal"/>
        <w:keepNext/>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Intemperii:</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Ceață</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Ploaie</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Vânt</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Zăpadă</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Gheață (polei)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Împroșcare, stropire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Ciuperci generatoare de micoze</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Antigeni biologici nemicrobieni</w:t>
      </w:r>
    </w:p>
    <w:p>
      <w:pPr>
        <w:pStyle w:val="Normal"/>
        <w:keepNext/>
        <w:widowControl/>
        <w:tabs>
          <w:tab w:val="clear" w:pos="720"/>
          <w:tab w:val="left" w:pos="1845" w:leader="none"/>
        </w:tabs>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2</w:t>
      </w:r>
      <w:r>
        <w:br/>
      </w:r>
      <w:r>
        <w:rPr>
          <w:rFonts w:eastAsia="Arial" w:cs="Arial" w:ascii="Arial" w:hAnsi="Arial"/>
          <w:b/>
          <w:bCs/>
          <w:color w:val="auto"/>
          <w:spacing w:val="0"/>
          <w:w w:val="100"/>
          <w:sz w:val="20"/>
          <w:szCs w:val="20"/>
          <w:lang w:val="ro-RO"/>
        </w:rPr>
        <w:t>Lista orientativă și neexhaustivă a E.I.P.</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de protecție pentru utilizare în industrie (mine, șantiere de lucrări publice, alte ramuri industriale);</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acoperământ ușor pentru protecția scalpului (caschete, bonete, plase de păr, cu sau fără cozoroc);</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acoperământ pentru cap (bonete, caschete, pălării etc. din material textil, material textil tratat etc.).</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împotriva zgomotului:</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interne și alte dispozitive similare;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antifonice (care acoperă tot capul);</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externe care pot fi montate pe căști de protecție industriale;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antifoane externe cu receptor de joasă frecvență incorporat;</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cu comunicare audio.</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și a feței:</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 cu brațe;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ochelari-mască;</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ochelari-mască împotriva radiațiilor X, ochelari-mască împotriva radiațiilor laser, ochelari-mască împotriva radiațiilor ultraviolete, infraroșii, vizibile;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ecrane faciale (viziere);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măști și căști pentru sudură cu arc (măști de mână, măști cu fixare pe cap sau măști care pot fi montate pe căști de protecție).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filtrante împotriva pulberilor, gazelor și pulberilor radioactive;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de protecție respiratorie izolante cu aducție de aer;</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aparate de protecție respiratorie cu mască de sudură detașabilă.</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Protecția mâinii și brațului:</w:t>
      </w:r>
    </w:p>
    <w:p>
      <w:pPr>
        <w:pStyle w:val="Normal"/>
        <w:keepNext/>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care asigură protecție: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agresiunilor mecanice (înțepături, tăieturi, vibrații etc.);</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substanțelor chimice;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pentru electricieni și împotriva căldurii;</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cu un deget;</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degetare;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mânecuțe;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manșetă de protecție a încheieturii mâinii pentru munci grele;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mitene (mănuși fără degete);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de protecție.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 și a gambelor: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pantofi, bocanci, cizme semiînalte și cizme de securitate;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la care se pot scoate rapid șireturile sau cârligele;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cu bombeu suplimentar de protecție;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încălțăminte și supraîncălțări cu tălpi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termoizolante;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împotriva vibrațiilor;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antistatice;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electroizolante;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cizme pentru lucrătorii cu ferăstraie cu lanț;</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saboți;</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genunchiere;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glezniere detașabile;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ghetre;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tălpi detașabile (rezistente la căldură, perforare sau transpirație);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crampoane detașabile pentru gheață, zăpadă sau podele alunecoase.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0"/>
          <w:numId w:val="2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creme de protecție/unguente.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trunchiului și a abdomenului:</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agresiunilor mecanice (înțepare, tăiere, stropi de metal topit etc.);</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substanțelor chimice;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cu sistem de încălzire;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de salvare;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șorturi de protecție împotriva radiațiilor X;</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centuri lomboabdominale.</w:t>
      </w:r>
    </w:p>
    <w:p>
      <w:pPr>
        <w:pStyle w:val="Normal"/>
        <w:keepNext/>
        <w:widowControl/>
        <w:numPr>
          <w:ilvl w:val="0"/>
          <w:numId w:val="2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Protecția întregului corp:</w:t>
      </w:r>
    </w:p>
    <w:p>
      <w:pPr>
        <w:pStyle w:val="Normal"/>
        <w:keepNext/>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Echipament proiectat pentru a preveni căderile: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prevenire a căderilor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frânare cu absorbire a energiei cinetice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dispozitive de susținere a corpului (centuri de securitate).</w:t>
      </w:r>
    </w:p>
    <w:p>
      <w:pPr>
        <w:pStyle w:val="Normal"/>
        <w:keepNext/>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Îmbrăcăminte de protecție: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îmbrăcăminte pentru lucru „de securitate” (două piese și combinezoane);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agresiunilor mecanice (înțepare, tăiere etc.);</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substanțelor chimice;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proiecțiilor de metal topit și a radiațiilor infraroșii;</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îmbrăcăminte de protecție rezistentă la căldură;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termoizolantă;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contaminării radioactive;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pulberilor;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gazelor;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și accesorii (banderole, mănuși etc.) de semnalizare fluorescente, reflectorizante;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pături de protecție.</w:t>
      </w:r>
    </w:p>
    <w:p>
      <w:pPr>
        <w:pStyle w:val="Normal"/>
        <w:keepNext/>
        <w:widowControl/>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3</w:t>
      </w:r>
      <w:r>
        <w:br/>
      </w:r>
      <w:r>
        <w:rPr>
          <w:rFonts w:eastAsia="Arial" w:cs="Arial" w:ascii="Arial" w:hAnsi="Arial"/>
          <w:b/>
          <w:bCs/>
          <w:color w:val="auto"/>
          <w:spacing w:val="0"/>
          <w:w w:val="100"/>
          <w:sz w:val="20"/>
          <w:szCs w:val="20"/>
          <w:lang w:val="ro-RO"/>
        </w:rPr>
        <w:t>Lista orientativă și neexhaustivă a activităților și sectoarelor de activitate care pot necesita utilizarea de echipament individual de protecție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 (protecția craniului)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Căști de protecție: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special activitate pe, sub sau în apropierea schelelor și locurilor de muncă la înălțime, la operații de montare și demontare a cofrajelor, de asamblare și instalare, activitate desfășurată pe schele și de demolări;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fose, șanțuri, puțuri și galerii;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terasamente și lucrări în piatră;</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vecinătatea lifturilor, dispozitivelor de ridicare, macaralelor și a transportoarelor;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la cuptoare industriale, containere, mașini, silozuri, buncăre și conducte.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cu talpă antiperforație: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civile și rutiere;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demolare;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beton și plăci prefabricate, care presupun montarea și demontarea cofrajelor;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șantiere și în spații de depozitare;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fără talpă antiperforație: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construcția de cuptoare, instalații de încălzire și ventilare și lucrări de asamblare de metale;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transformare și întreținere;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cariere și în exploatări de suprafață și halde;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extracția și prelucrarea pietrei;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manipulare a formelor în industria ceramicii;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turnare în industria produselor ceramice și a materialelor de construcții;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transport și depozitare.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cu toc sau talpă ortopedică și inserție antiperforație: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tălpi termoizolante: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pe materiale foarte fierbinți sau foarte reci.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care se poate dezechipa ușor: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acolo unde există riscul penetrării de substanțe incandescente.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sau a feței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Ochelari de protecție, viziere și ecrane faciale: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 polizare și debitare;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găurire și gravare;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tăiere și prelucrare a pietrei;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utilizarea de mașini a căror funcționare se bazează pe îndepărtarea șpanului în cazul prelucrării de materiale care produc șpan;</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pulverizarea de substanțe abrazive;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soluții acide și alcaline, dezinfectanți și produse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de dispozitive cu jet lichid;</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în apropierea materialelor incandescente;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cu căldură radiantă;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laser.</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Semimăști/Aparate de protecție respiratorie: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containere, spații înguste și cuptoare industriale alimentate cu gaz, în cazul în care poate exista riscul intoxicării cu gaz sau cantitatea de oxigen este insuficientă;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vopsirea prin pulverizare fără ventilație corespunzătoare;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puțuri, canale și alte spații subterane ale sistemului de canalizare.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auzului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Antifoane: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prese de metale;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dispozitive pneumatice;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industria lemnului și textilă.</w:t>
      </w:r>
    </w:p>
    <w:p>
      <w:pPr>
        <w:pStyle w:val="Normal"/>
        <w:keepNext/>
        <w:widowControl/>
        <w:numPr>
          <w:ilvl w:val="0"/>
          <w:numId w:val="16"/>
        </w:numPr>
        <w:spacing w:before="0" w:after="120"/>
        <w:jc w:val="left"/>
        <w:rPr>
          <w:rFonts w:ascii="Arial" w:hAnsi="Arial" w:cs="Arial"/>
          <w:sz w:val="20"/>
          <w:szCs w:val="20"/>
        </w:rPr>
      </w:pPr>
      <w:r>
        <w:rPr>
          <w:rFonts w:eastAsia="Arial" w:cs="Arial" w:ascii="Arial" w:hAnsi="Arial"/>
          <w:b/>
          <w:bCs/>
          <w:color w:val="auto"/>
          <w:spacing w:val="0"/>
          <w:w w:val="100"/>
          <w:sz w:val="20"/>
          <w:szCs w:val="20"/>
          <w:lang w:val="ro-RO"/>
        </w:rPr>
        <w:t xml:space="preserve">Protecția corpului, brațelor și mâinilor</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acizi și soluții caustice, dezinfectanți și substanțe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sau în apropierea materialelor fierbinți și acolo unde se simt efectele căldurii;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sablare.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greu inflamabilă: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sudură în spații înguste.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rezistente la perforație: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cu cuțite de mână care implică îndreptarea cuțitului spre corp.</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din piele: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sudură.</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Mănuși: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manipularea de obiecte cu muchii ascuțite, dar nu la utilizarea mașinilor care prezintă riscul ca mănușa să fie prinsă;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neprotejate cu acizi și soluții caustice.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Mănuși din împletitură metalică: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schimbarea cuțitelor la mașinile de tăiat.</w:t>
      </w:r>
    </w:p>
    <w:p>
      <w:pPr>
        <w:pStyle w:val="Normal"/>
        <w:keepNext/>
        <w:widowControl/>
        <w:numPr>
          <w:ilvl w:val="0"/>
          <w:numId w:val="8"/>
        </w:numPr>
        <w:spacing w:before="0" w:after="40"/>
        <w:ind w:left="720" w:hanging="36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împotriva intemperiilor:</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aer liber pe ploaie și vreme rece;</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de pază;</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în silvicultură;</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de monitorizare a oleoductelor și gazoductelor.</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Îmbrăcăminte reflectorizantă: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locuri în care lucrătorii trebuie să poată fi observați la timp;</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la drumuri și șosele, poduri, căi ferate.</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Centuri de securitate:</w:t>
      </w:r>
    </w:p>
    <w:p>
      <w:pPr>
        <w:pStyle w:val="Normal"/>
        <w:widowControl/>
        <w:numPr>
          <w:ilvl w:val="2"/>
          <w:numId w:val="19"/>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 xml:space="preserve">lucru la înălțime;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asamblarea de piese prefabricate;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stâlpi.</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Frânghii de securitate:</w:t>
      </w:r>
    </w:p>
    <w:p>
      <w:pPr>
        <w:pStyle w:val="Normal"/>
        <w:widowControl/>
        <w:numPr>
          <w:ilvl w:val="0"/>
          <w:numId w:val="17"/>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 xml:space="preserve">lucru la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macarale amplasate la mare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stivuitoare și elevatoare amplasate la mare înălțime în depozite;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și canalizări.</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prelucrarea materialelor de acoperire.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{{^equippedPositions}}</w:t>
      </w:r>
    </w:p>
    <w:p>
      <w:pPr>
        <w:pStyle w:val="Normal"/>
        <w:widowControl/>
        <w:spacing w:before="24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Pentru posturile de lucru de mai sus nu este necesară dotarea cu echipament individual de protecție.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{{/equippedPositions}}</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{{#equippedPositions}}</w:t>
      </w:r>
    </w:p>
    <w:p>
      <w:pPr>
        <w:pStyle w:val="Normal"/>
        <w:keepNext w:val="true"/>
        <w:widowControl/>
        <w:spacing w:before="240" w:after="120"/>
        <w:ind w:hanging="0"/>
        <w:jc w:val="left"/>
        <w:rPr>
          <w:rFonts w:ascii="Arial" w:hAnsi="Arial" w:cs="Arial"/>
          <w:sz w:val="20"/>
          <w:szCs w:val="20"/>
        </w:rPr>
      </w:pPr>
      <w:r>
        <w:rPr>
          <w:rFonts w:eastAsia="Arial" w:cs="Arial" w:ascii="Arial" w:hAnsi="Arial"/>
          <w:b/>
          <w:color w:val="auto"/>
          <w:spacing w:val="0"/>
          <w:w w:val="100"/>
          <w:sz w:val="20"/>
          <w:szCs w:val="20"/>
          <w:lang w:val="ro-RO"/>
        </w:rPr>
        <w:t>{{#workZoneLine}}LOC DE MUNCĂ: {{workZone}} / {{/workZoneLine}}POST DE LUCRU: {{name}}</w:t>
      </w:r>
    </w:p>
    <w:tbl>
      <w:tblPr>
        <w:tblW w:w="5000" w:type="pct"/>
        <w:jc w:val="left"/>
        <w:tblInd w:w="55" w:type="dxa"/>
        <w:tblLayout w:type="fixed"/>
        <w:tblCellMar>
          <w:top w:w="55" w:type="dxa"/>
          <w:left w:w="55" w:type="dxa"/>
          <w:bottom w:w="55" w:type="dxa"/>
          <w:right w:w="55" w:type="dxa"/>
        </w:tblCellMar>
      </w:tblPr>
      <w:tblGrid>
        <w:gridCol w:w="2835"/>
        <w:gridCol w:w="2835"/>
        <w:gridCol w:w="1843"/>
        <w:gridCol w:w="1842"/>
      </w:tblGrid>
      <w:tr>
        <w:trPr>
          <w:tblHeader w:val="true"/>
        </w:trPr>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Risc</w:t>
            </w:r>
          </w:p>
        </w:tc>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Sortiment E.I.P. necesar de acordat</w:t>
            </w:r>
          </w:p>
        </w:tc>
        <w:tc>
          <w:tcPr>
            <w:tcW w:w="184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Cantitate și durata de utilizare</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Mod de acordare</w:t>
            </w:r>
          </w:p>
        </w:tc>
      </w:tr>
      <w:tr>
        <w:trPr>
          <w:cantSplit/>
        </w:trPr>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{{#equipment}}{{risk}}</w:t>
            </w:r>
          </w:p>
        </w:tc>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{{item}}</w:t>
            </w:r>
          </w:p>
        </w:tc>
        <w:tc>
          <w:tcPr>
            <w:tcW w:w="184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{{quantityLabel}}</w:t>
            </w:r>
          </w:p>
        </w:tc>
        <w:tc>
          <w:tcPr>
            <w:tcW w:w="18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{{allocationLabel}}{{/equipment}}</w:t>
            </w:r>
          </w:p>
        </w:tc>
      </w:tr>
    </w:tbl>
    <w:p>
      <w:pPr>
        <w:pStyle w:val="Normal"/>
        <w:widowControl/>
        <w:spacing w:before="120" w:after="120"/>
        <w:ind w:hanging="0"/>
        <w:jc w:val="left"/>
        <w:rPr>
          <w:rFonts w:ascii="Arial" w:hAnsi="Arial" w:cs="Arial"/>
          <w:b w:val="false"/>
          <w:sz w:val="20"/>
          <w:szCs w:val="20"/>
        </w:rPr>
      </w:pPr>
      <w:r>
        <w:rPr>
          <w:rFonts w:eastAsia="Arial" w:cs="Arial" w:ascii="Arial" w:hAnsi="Arial"/>
          <w:b w:val="false"/>
          <w:color w:val="auto"/>
          <w:spacing w:val="0"/>
          <w:w w:val="100"/>
          <w:sz w:val="20"/>
          <w:szCs w:val="20"/>
          <w:lang w:val="ro-RO"/>
        </w:rPr>
        <w:t>{{/equippedPositions}}</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{{#unequippedPositionsText}}</w:t>
      </w:r>
    </w:p>
    <w:p>
      <w:pPr>
        <w:pStyle w:val="Normal"/>
        <w:widowControl/>
        <w:spacing w:before="24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Pentru {{unequippedPositionsText}} nu este necesară dotarea cu echipament individual de protecție.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{{/unequippedPositionsText}}</w:t>
      </w:r>
    </w:p>
    <w:p>
      <w:pPr>
        <w:pStyle w:val="Normal"/>
        <w:keepNext w:val="false"/>
        <w:widowControl/>
        <w:spacing w:before="240" w:after="120"/>
        <w:ind w:hanging="0" w:left="0"/>
        <w:jc w:val="left"/>
        <w:rPr>
          <w:rFonts w:ascii="Arial" w:hAnsi="Arial" w:cs="Arial"/>
          <w:b w:val="false"/>
          <w:sz w:val="20"/>
          <w:szCs w:val="20"/>
        </w:rPr>
      </w:pPr>
      <w:r>
        <w:rPr>
          <w:rFonts w:eastAsia="Arial" w:cs="Arial" w:ascii="Arial" w:hAnsi="Arial"/>
          <w:b w:val="false"/>
          <w:i w:val="false"/>
          <w:color w:val="auto"/>
          <w:spacing w:val="0"/>
          <w:w w:val="100"/>
          <w:sz w:val="20"/>
          <w:szCs w:val="20"/>
          <w:lang w:val="ro-RO"/>
        </w:rPr>
        <w:t xml:space="preserve">Observații: La predarea echipamentului individual de protecție se va completa procesul-verbal de predare-primire.</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Wingdings">
    <w:charset w:val="02"/>
    <w:family w:val="roman"/>
    <w:pitch w:val="variable"/>
  </w:font>
  <w:font w:name="Courier New">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Arial">
    <w:charset w:val="01"/>
    <w:family w:val="roman"/>
    <w:pitch w:val="variable"/>
  </w:font>
  <w:font w:name="Arial Black">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Article %1."/>
      <w:lvlJc w:val="left"/>
      <w:pPr>
        <w:tabs>
          <w:tab w:val="num" w:pos="1440"/>
        </w:tabs>
        <w:ind w:left="0" w:hanging="0"/>
      </w:pPr>
      <w:rPr>
        <w:rFonts w:ascii="Times New Roman" w:hAnsi="Times New Roman" w:cs="Times New Roman"/>
        <w:b/>
        <w:sz w:val="24"/>
        <w:szCs w:val="24"/>
      </w:rPr>
    </w:lvl>
    <w:lvl w:ilvl="1">
      <w:start w:val="1"/>
      <w:numFmt w:val="decimalZero"/>
      <w:pStyle w:val="Heading2"/>
      <w:isLgl/>
      <w:lvlText w:val="Section %1.%2"/>
      <w:lvlJc w:val="left"/>
      <w:pPr>
        <w:tabs>
          <w:tab w:val="num" w:pos="1080"/>
        </w:tabs>
        <w:ind w:left="0" w:hanging="0"/>
      </w:pPr>
      <w:rPr/>
    </w:lvl>
    <w:lvl w:ilvl="2">
      <w:start w:val="1"/>
      <w:numFmt w:val="lowerLetter"/>
      <w:pStyle w:val="Heading3"/>
      <w:lvlText w:val="(%3)"/>
      <w:lvlJc w:val="left"/>
      <w:pPr>
        <w:tabs>
          <w:tab w:val="num" w:pos="720"/>
        </w:tabs>
        <w:ind w:left="720" w:hanging="432"/>
      </w:pPr>
      <w:rPr/>
    </w:lvl>
    <w:lvl w:ilvl="3">
      <w:start w:val="1"/>
      <w:numFmt w:val="lowerRoman"/>
      <w:pStyle w:val="Heading4"/>
      <w:lvlText w:val="(%4)"/>
      <w:lvlJc w:val="right"/>
      <w:pPr>
        <w:tabs>
          <w:tab w:val="num" w:pos="864"/>
        </w:tabs>
        <w:ind w:left="864" w:hanging="144"/>
      </w:pPr>
      <w:rPr/>
    </w:lvl>
    <w:lvl w:ilvl="4">
      <w:start w:val="1"/>
      <w:numFmt w:val="decimal"/>
      <w:pStyle w:val="Heading5"/>
      <w:lvlText w:val="%5)"/>
      <w:lvlJc w:val="left"/>
      <w:pPr>
        <w:tabs>
          <w:tab w:val="num" w:pos="1008"/>
        </w:tabs>
        <w:ind w:left="1008" w:hanging="432"/>
      </w:pPr>
      <w:rPr/>
    </w:lvl>
    <w:lvl w:ilvl="5">
      <w:start w:val="1"/>
      <w:numFmt w:val="lowerLetter"/>
      <w:pStyle w:val="Heading6"/>
      <w:lvlText w:val="%6)"/>
      <w:lvlJc w:val="left"/>
      <w:pPr>
        <w:tabs>
          <w:tab w:val="num" w:pos="1152"/>
        </w:tabs>
        <w:ind w:left="1152" w:hanging="432"/>
      </w:pPr>
      <w:rPr/>
    </w:lvl>
    <w:lvl w:ilvl="6">
      <w:start w:val="1"/>
      <w:numFmt w:val="lowerRoman"/>
      <w:pStyle w:val="Heading7"/>
      <w:lvlText w:val="%7)"/>
      <w:lvlJc w:val="right"/>
      <w:pPr>
        <w:tabs>
          <w:tab w:val="num" w:pos="1296"/>
        </w:tabs>
        <w:ind w:left="1296" w:hanging="288"/>
      </w:pPr>
      <w:rPr/>
    </w:lvl>
    <w:lvl w:ilvl="7">
      <w:start w:val="1"/>
      <w:numFmt w:val="lowerLetter"/>
      <w:pStyle w:val="Heading8"/>
      <w:lvlText w:val="%8."/>
      <w:lvlJc w:val="left"/>
      <w:pPr>
        <w:tabs>
          <w:tab w:val="num" w:pos="1440"/>
        </w:tabs>
        <w:ind w:left="1440" w:hanging="432"/>
      </w:pPr>
      <w:rPr/>
    </w:lvl>
    <w:lvl w:ilvl="8">
      <w:start w:val="1"/>
      <w:numFmt w:val="lowerRoman"/>
      <w:pStyle w:val="Heading9"/>
      <w:lvlText w:val="%9."/>
      <w:lvlJc w:val="right"/>
      <w:pPr>
        <w:tabs>
          <w:tab w:val="num" w:pos="1584"/>
        </w:tabs>
        <w:ind w:left="1584" w:hanging="144"/>
      </w:pPr>
      <w:rPr/>
    </w:lvl>
  </w:abstractNum>
  <w:abstractNum w:abstractNumId="2">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7"/>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o"/>
      <w:lvlJc w:val="left"/>
      <w:pPr>
        <w:tabs>
          <w:tab w:val="num" w:pos="1800"/>
        </w:tabs>
        <w:ind w:left="1800" w:hanging="360"/>
      </w:pPr>
      <w:rPr>
        <w:rFonts w:ascii="Courier New" w:hAnsi="Courier New" w:cs="Courier New"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805"/>
        </w:tabs>
        <w:ind w:left="2805" w:hanging="360"/>
      </w:pPr>
      <w:rPr>
        <w:rFonts w:ascii="Wingdings" w:hAnsi="Wingdings" w:cs="Wingdings" w:hint="default"/>
      </w:rPr>
    </w:lvl>
    <w:lvl w:ilvl="3">
      <w:start w:val="1"/>
      <w:numFmt w:val="bullet"/>
      <w:lvlText w:val=""/>
      <w:lvlJc w:val="left"/>
      <w:pPr>
        <w:tabs>
          <w:tab w:val="num" w:pos="3525"/>
        </w:tabs>
        <w:ind w:left="3525" w:hanging="360"/>
      </w:pPr>
      <w:rPr>
        <w:rFonts w:ascii="Symbol" w:hAnsi="Symbol" w:cs="Symbol" w:hint="default"/>
      </w:rPr>
    </w:lvl>
    <w:lvl w:ilvl="4">
      <w:start w:val="1"/>
      <w:numFmt w:val="bullet"/>
      <w:lvlText w:val="o"/>
      <w:lvlJc w:val="left"/>
      <w:pPr>
        <w:tabs>
          <w:tab w:val="num" w:pos="4245"/>
        </w:tabs>
        <w:ind w:left="4245" w:hanging="360"/>
      </w:pPr>
      <w:rPr>
        <w:rFonts w:ascii="Courier New" w:hAnsi="Courier New" w:cs="Courier New" w:hint="default"/>
      </w:rPr>
    </w:lvl>
    <w:lvl w:ilvl="5">
      <w:start w:val="1"/>
      <w:numFmt w:val="bullet"/>
      <w:lvlText w:val=""/>
      <w:lvlJc w:val="left"/>
      <w:pPr>
        <w:tabs>
          <w:tab w:val="num" w:pos="4965"/>
        </w:tabs>
        <w:ind w:left="4965" w:hanging="360"/>
      </w:pPr>
      <w:rPr>
        <w:rFonts w:ascii="Wingdings" w:hAnsi="Wingdings" w:cs="Wingdings" w:hint="default"/>
      </w:rPr>
    </w:lvl>
    <w:lvl w:ilvl="6">
      <w:start w:val="1"/>
      <w:numFmt w:val="bullet"/>
      <w:lvlText w:val=""/>
      <w:lvlJc w:val="left"/>
      <w:pPr>
        <w:tabs>
          <w:tab w:val="num" w:pos="5685"/>
        </w:tabs>
        <w:ind w:left="5685" w:hanging="360"/>
      </w:pPr>
      <w:rPr>
        <w:rFonts w:ascii="Symbol" w:hAnsi="Symbol" w:cs="Symbol" w:hint="default"/>
      </w:rPr>
    </w:lvl>
    <w:lvl w:ilvl="7">
      <w:start w:val="1"/>
      <w:numFmt w:val="bullet"/>
      <w:lvlText w:val="o"/>
      <w:lvlJc w:val="left"/>
      <w:pPr>
        <w:tabs>
          <w:tab w:val="num" w:pos="6405"/>
        </w:tabs>
        <w:ind w:left="6405" w:hanging="360"/>
      </w:pPr>
      <w:rPr>
        <w:rFonts w:ascii="Courier New" w:hAnsi="Courier New" w:cs="Courier New" w:hint="default"/>
      </w:rPr>
    </w:lvl>
    <w:lvl w:ilvl="8">
      <w:start w:val="1"/>
      <w:numFmt w:val="bullet"/>
      <w:lvlText w:val=""/>
      <w:lvlJc w:val="left"/>
      <w:pPr>
        <w:tabs>
          <w:tab w:val="num" w:pos="7125"/>
        </w:tabs>
        <w:ind w:left="7125"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9"/>
      <w:numFmt w:val="bullet"/>
      <w:lvlText w:val="-"/>
      <w:lvlJc w:val="left"/>
      <w:pPr>
        <w:tabs>
          <w:tab w:val="num" w:pos="1725"/>
        </w:tabs>
        <w:ind w:left="1725" w:hanging="360"/>
      </w:pPr>
      <w:rPr>
        <w:rFonts w:ascii="Times New Roman" w:hAnsi="Times New Roman" w:cs="Times New Roman"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3165"/>
        </w:tabs>
        <w:ind w:left="3165" w:hanging="360"/>
      </w:pPr>
      <w:rPr>
        <w:rFonts w:ascii="Symbol" w:hAnsi="Symbol" w:cs="Symbol" w:hint="default"/>
      </w:rPr>
    </w:lvl>
    <w:lvl w:ilvl="4">
      <w:start w:val="1"/>
      <w:numFmt w:val="bullet"/>
      <w:lvlText w:val="o"/>
      <w:lvlJc w:val="left"/>
      <w:pPr>
        <w:tabs>
          <w:tab w:val="num" w:pos="3885"/>
        </w:tabs>
        <w:ind w:left="3885" w:hanging="360"/>
      </w:pPr>
      <w:rPr>
        <w:rFonts w:ascii="Courier New" w:hAnsi="Courier New" w:cs="Courier New" w:hint="default"/>
      </w:rPr>
    </w:lvl>
    <w:lvl w:ilvl="5">
      <w:start w:val="1"/>
      <w:numFmt w:val="bullet"/>
      <w:lvlText w:val=""/>
      <w:lvlJc w:val="left"/>
      <w:pPr>
        <w:tabs>
          <w:tab w:val="num" w:pos="4605"/>
        </w:tabs>
        <w:ind w:left="4605" w:hanging="360"/>
      </w:pPr>
      <w:rPr>
        <w:rFonts w:ascii="Wingdings" w:hAnsi="Wingdings" w:cs="Wingdings" w:hint="default"/>
      </w:rPr>
    </w:lvl>
    <w:lvl w:ilvl="6">
      <w:start w:val="1"/>
      <w:numFmt w:val="bullet"/>
      <w:lvlText w:val=""/>
      <w:lvlJc w:val="left"/>
      <w:pPr>
        <w:tabs>
          <w:tab w:val="num" w:pos="5325"/>
        </w:tabs>
        <w:ind w:left="5325" w:hanging="360"/>
      </w:pPr>
      <w:rPr>
        <w:rFonts w:ascii="Symbol" w:hAnsi="Symbol" w:cs="Symbol" w:hint="default"/>
      </w:rPr>
    </w:lvl>
    <w:lvl w:ilvl="7">
      <w:start w:val="1"/>
      <w:numFmt w:val="bullet"/>
      <w:lvlText w:val="o"/>
      <w:lvlJc w:val="left"/>
      <w:pPr>
        <w:tabs>
          <w:tab w:val="num" w:pos="6045"/>
        </w:tabs>
        <w:ind w:left="6045" w:hanging="360"/>
      </w:pPr>
      <w:rPr>
        <w:rFonts w:ascii="Courier New" w:hAnsi="Courier New" w:cs="Courier New" w:hint="default"/>
      </w:rPr>
    </w:lvl>
    <w:lvl w:ilvl="8">
      <w:start w:val="1"/>
      <w:numFmt w:val="bullet"/>
      <w:lvlText w:val=""/>
      <w:lvlJc w:val="left"/>
      <w:pPr>
        <w:tabs>
          <w:tab w:val="num" w:pos="6765"/>
        </w:tabs>
        <w:ind w:left="6765" w:hanging="360"/>
      </w:pPr>
      <w:rPr>
        <w:rFonts w:ascii="Wingdings" w:hAnsi="Wingdings" w:cs="Wingdings" w:hint="default"/>
      </w:rPr>
    </w:lvl>
  </w:abstractNum>
  <w:abstractNum w:abstractNumId="20">
    <w:lvl w:ilvl="0">
      <w:start w:val="8"/>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suff w:val="space"/>
      <w:lvlText w:val="Art. %1"/>
      <w:lvlJc w:val="left"/>
      <w:pPr>
        <w:tabs>
          <w:tab w:val="num" w:pos="0"/>
        </w:tabs>
        <w:ind w:left="81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bullet"/>
      <w:lvlText w:val=""/>
      <w:lvlJc w:val="left"/>
      <w:pPr>
        <w:tabs>
          <w:tab w:val="num" w:pos="2520"/>
        </w:tabs>
        <w:ind w:left="2520" w:hanging="360"/>
      </w:pPr>
      <w:rPr>
        <w:rFonts w:ascii="Symbol" w:hAnsi="Symbol" w:cs="Symbol" w:hint="default"/>
      </w:rPr>
    </w:lvl>
    <w:lvl w:ilvl="1">
      <w:start w:val="1"/>
      <w:numFmt w:val="bullet"/>
      <w:lvlText w:val="o"/>
      <w:lvlJc w:val="left"/>
      <w:pPr>
        <w:tabs>
          <w:tab w:val="num" w:pos="3240"/>
        </w:tabs>
        <w:ind w:left="32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4680"/>
        </w:tabs>
        <w:ind w:left="4680" w:hanging="360"/>
      </w:pPr>
      <w:rPr>
        <w:rFonts w:ascii="Symbol" w:hAnsi="Symbol" w:cs="Symbol" w:hint="default"/>
      </w:rPr>
    </w:lvl>
    <w:lvl w:ilvl="4">
      <w:start w:val="1"/>
      <w:numFmt w:val="bullet"/>
      <w:lvlText w:val="o"/>
      <w:lvlJc w:val="left"/>
      <w:pPr>
        <w:tabs>
          <w:tab w:val="num" w:pos="5400"/>
        </w:tabs>
        <w:ind w:left="5400" w:hanging="360"/>
      </w:pPr>
      <w:rPr>
        <w:rFonts w:ascii="Courier New" w:hAnsi="Courier New" w:cs="Courier New" w:hint="default"/>
      </w:rPr>
    </w:lvl>
    <w:lvl w:ilvl="5">
      <w:start w:val="1"/>
      <w:numFmt w:val="bullet"/>
      <w:lvlText w:val=""/>
      <w:lvlJc w:val="left"/>
      <w:pPr>
        <w:tabs>
          <w:tab w:val="num" w:pos="6120"/>
        </w:tabs>
        <w:ind w:left="6120" w:hanging="360"/>
      </w:pPr>
      <w:rPr>
        <w:rFonts w:ascii="Wingdings" w:hAnsi="Wingdings" w:cs="Wingdings" w:hint="default"/>
      </w:rPr>
    </w:lvl>
    <w:lvl w:ilvl="6">
      <w:start w:val="1"/>
      <w:numFmt w:val="bullet"/>
      <w:lvlText w:val=""/>
      <w:lvlJc w:val="left"/>
      <w:pPr>
        <w:tabs>
          <w:tab w:val="num" w:pos="6840"/>
        </w:tabs>
        <w:ind w:left="6840" w:hanging="360"/>
      </w:pPr>
      <w:rPr>
        <w:rFonts w:ascii="Symbol" w:hAnsi="Symbol" w:cs="Symbol" w:hint="default"/>
      </w:rPr>
    </w:lvl>
    <w:lvl w:ilvl="7">
      <w:start w:val="1"/>
      <w:numFmt w:val="bullet"/>
      <w:lvlText w:val="o"/>
      <w:lvlJc w:val="left"/>
      <w:pPr>
        <w:tabs>
          <w:tab w:val="num" w:pos="7560"/>
        </w:tabs>
        <w:ind w:left="7560" w:hanging="360"/>
      </w:pPr>
      <w:rPr>
        <w:rFonts w:ascii="Courier New" w:hAnsi="Courier New" w:cs="Courier New" w:hint="default"/>
      </w:rPr>
    </w:lvl>
    <w:lvl w:ilvl="8">
      <w:start w:val="1"/>
      <w:numFmt w:val="bullet"/>
      <w:lvlText w:val=""/>
      <w:lvlJc w:val="left"/>
      <w:pPr>
        <w:tabs>
          <w:tab w:val="num" w:pos="8280"/>
        </w:tabs>
        <w:ind w:left="8280" w:hanging="360"/>
      </w:pPr>
      <w:rPr>
        <w:rFonts w:ascii="Wingdings" w:hAnsi="Wingdings" w:cs="Wingdings" w:hint="default"/>
      </w:rPr>
    </w:lvl>
  </w:abstractNum>
  <w:abstractNum w:abstractNumId="3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pPr>
      <w:keepNext w:val="true"/>
      <w:numPr>
        <w:ilvl w:val="3"/>
        <w:numId w:val="1"/>
      </w:numPr>
      <w:spacing w:before="240" w:after="60"/>
      <w:outlineLvl w:val="3"/>
    </w:pPr>
    <w:rPr>
      <w:b/>
      <w:bCs/>
      <w:sz w:val="28"/>
      <w:szCs w:val="28"/>
    </w:rPr>
  </w:style>
  <w:style w:type="paragraph" w:styleId="Heading5">
    <w:name w:val="heading 5"/>
    <w:basedOn w:val="Normal"/>
    <w:next w:val="Normal"/>
    <w:pPr>
      <w:numPr>
        <w:ilvl w:val="4"/>
        <w:numId w:val="1"/>
      </w:numPr>
      <w:spacing w:before="240" w:after="60"/>
      <w:outlineLvl w:val="4"/>
    </w:pPr>
    <w:rPr>
      <w:b/>
      <w:bCs/>
      <w:i/>
      <w:iCs/>
      <w:sz w:val="26"/>
      <w:szCs w:val="26"/>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r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pPr>
      <w:numPr>
        <w:ilvl w:val="8"/>
        <w:numId w:val="1"/>
      </w:numPr>
      <w:spacing w:before="240" w:after="60"/>
      <w:outlineLvl w:val="8"/>
    </w:pPr>
    <w:rPr>
      <w:rFonts w:ascii="Arial" w:hAnsi="Arial" w:cs="Arial"/>
      <w:sz w:val="22"/>
      <w:szCs w:val="22"/>
    </w:rPr>
  </w:style>
  <w:style w:type="character" w:styleId="WW8Num1z0">
    <w:name w:val="WW8Num1z0"/>
    <w:rPr>
      <w:b/>
    </w:rPr>
  </w:style>
  <w:style w:type="character" w:styleId="WW8Num2z0">
    <w:name w:val="WW8Num2z0"/>
    <w:rPr>
      <w:rFonts w:ascii="Wingdings" w:hAnsi="Wingdings" w:cs="Wingdings"/>
    </w:rPr>
  </w:style>
  <w:style w:type="character" w:styleId="WW8Num2z1">
    <w:name w:val="WW8Num2z1"/>
    <w:rPr>
      <w:rFonts w:ascii="Courier New" w:hAnsi="Courier New" w:cs="Courier New"/>
    </w:rPr>
  </w:style>
  <w:style w:type="character" w:styleId="WW8Num2z3">
    <w:name w:val="WW8Num2z3"/>
    <w:rPr>
      <w:rFonts w:ascii="Symbol" w:hAnsi="Symbol" w:cs="Symbol"/>
    </w:rPr>
  </w:style>
  <w:style w:type="character" w:styleId="WW8Num4z1">
    <w:name w:val="WW8Num4z1"/>
    <w:rPr>
      <w:rFonts w:ascii="Symbol" w:hAnsi="Symbol" w:cs="Symbol"/>
    </w:rPr>
  </w:style>
  <w:style w:type="character" w:styleId="WW8Num5z0">
    <w:name w:val="WW8Num5z0"/>
    <w:rPr>
      <w:rFonts w:ascii="Wingdings" w:hAnsi="Wingdings" w:cs="Wingdings"/>
    </w:rPr>
  </w:style>
  <w:style w:type="character" w:styleId="WW8Num5z1">
    <w:name w:val="WW8Num5z1"/>
    <w:rPr>
      <w:rFonts w:ascii="Courier New" w:hAnsi="Courier New" w:cs="Courier New"/>
    </w:rPr>
  </w:style>
  <w:style w:type="character" w:styleId="WW8Num5z3">
    <w:name w:val="WW8Num5z3"/>
    <w:rPr>
      <w:rFonts w:ascii="Symbol" w:hAnsi="Symbol" w:cs="Symbol"/>
    </w:rPr>
  </w:style>
  <w:style w:type="character" w:styleId="WW8Num6z1">
    <w:name w:val="WW8Num6z1"/>
    <w:rPr>
      <w:rFonts w:ascii="Symbol" w:hAnsi="Symbol" w:cs="Symbol"/>
    </w:rPr>
  </w:style>
  <w:style w:type="character" w:styleId="WW8Num7z0">
    <w:name w:val="WW8Num7z0"/>
    <w:rPr>
      <w:rFonts w:ascii="Times New Roman" w:hAnsi="Times New Roman" w:cs="Times New Roman"/>
      <w:b/>
      <w:sz w:val="24"/>
      <w:szCs w:val="24"/>
    </w:rPr>
  </w:style>
  <w:style w:type="character" w:styleId="WW8Num8z0">
    <w:name w:val="WW8Num8z0"/>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rFonts w:ascii="Courier New" w:hAnsi="Courier New" w:cs="Courier New"/>
    </w:rPr>
  </w:style>
  <w:style w:type="character" w:styleId="WW8Num10z1">
    <w:name w:val="WW8Num10z1"/>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Symbol" w:hAnsi="Symbol" w:cs="Symbol"/>
    </w:rPr>
  </w:style>
  <w:style w:type="character" w:styleId="WW8Num11z1">
    <w:name w:val="WW8Num11z1"/>
    <w:rPr>
      <w:rFonts w:ascii="Times New Roman" w:hAnsi="Times New Roman" w:eastAsia="Times New Roman" w:cs="Times New Roman"/>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rFonts w:ascii="Symbol" w:hAnsi="Symbol" w:cs="Symbo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WW8Num16z0">
    <w:name w:val="WW8Num16z0"/>
    <w:rPr>
      <w:b/>
    </w:rPr>
  </w:style>
  <w:style w:type="character" w:styleId="WW8Num17z0">
    <w:name w:val="WW8Num17z0"/>
    <w:rPr>
      <w:rFonts w:ascii="Wingdings" w:hAnsi="Wingdings" w:cs="Wingdings"/>
    </w:rPr>
  </w:style>
  <w:style w:type="character" w:styleId="WW8Num17z1">
    <w:name w:val="WW8Num17z1"/>
    <w:rPr>
      <w:rFonts w:ascii="Courier New" w:hAnsi="Courier New" w:cs="Courier New"/>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9z0">
    <w:name w:val="WW8Num19z0"/>
    <w:rPr>
      <w:rFonts w:ascii="Symbol" w:hAnsi="Symbol" w:cs="Symbol"/>
    </w:rPr>
  </w:style>
  <w:style w:type="character" w:styleId="WW8Num19z1">
    <w:name w:val="WW8Num19z1"/>
    <w:rPr>
      <w:rFonts w:ascii="Times New Roman" w:hAnsi="Times New Roman" w:eastAsia="Times New Roman" w:cs="Times New Roman"/>
    </w:rPr>
  </w:style>
  <w:style w:type="character" w:styleId="WW8Num19z2">
    <w:name w:val="WW8Num19z2"/>
    <w:rPr>
      <w:rFonts w:ascii="Wingdings" w:hAnsi="Wingdings" w:cs="Wingdings"/>
    </w:rPr>
  </w:style>
  <w:style w:type="character" w:styleId="WW8Num19z4">
    <w:name w:val="WW8Num19z4"/>
    <w:rPr>
      <w:rFonts w:ascii="Courier New" w:hAnsi="Courier New" w:cs="Courier New"/>
    </w:rPr>
  </w:style>
  <w:style w:type="character" w:styleId="WW8Num20z0">
    <w:name w:val="WW8Num20z0"/>
    <w:rPr/>
  </w:style>
  <w:style w:type="character" w:styleId="WW8Num21z0">
    <w:name w:val="WW8Num21z0"/>
    <w:rPr>
      <w:rFonts w:ascii="Symbol" w:hAnsi="Symbol" w:cs="Symbol"/>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2z0">
    <w:name w:val="WW8Num22z0"/>
    <w:rPr>
      <w:rFonts w:ascii="Symbol" w:hAnsi="Symbol" w:cs="Symbol"/>
    </w:rPr>
  </w:style>
  <w:style w:type="character" w:styleId="WW8Num22z1">
    <w:name w:val="WW8Num22z1"/>
    <w:rPr>
      <w:rFonts w:ascii="Courier New" w:hAnsi="Courier New" w:cs="Courier New"/>
    </w:rPr>
  </w:style>
  <w:style w:type="character" w:styleId="WW8Num22z2">
    <w:name w:val="WW8Num22z2"/>
    <w:rPr>
      <w:rFonts w:ascii="Wingdings" w:hAnsi="Wingdings" w:cs="Wingdings"/>
    </w:rPr>
  </w:style>
  <w:style w:type="character" w:styleId="WW8Num24z0">
    <w:name w:val="WW8Num24z0"/>
    <w:rPr>
      <w:rFonts w:ascii="Symbol" w:hAnsi="Symbol" w:cs="Symbol"/>
    </w:rPr>
  </w:style>
  <w:style w:type="character" w:styleId="WW8Num24z1">
    <w:name w:val="WW8Num24z1"/>
    <w:rPr>
      <w:rFonts w:ascii="Courier New" w:hAnsi="Courier New" w:cs="Courier New"/>
    </w:rPr>
  </w:style>
  <w:style w:type="character" w:styleId="WW8Num24z2">
    <w:name w:val="WW8Num24z2"/>
    <w:rPr>
      <w:rFonts w:ascii="Wingdings" w:hAnsi="Wingdings" w:cs="Wingdings"/>
    </w:rPr>
  </w:style>
  <w:style w:type="character" w:styleId="WW8Num26z0">
    <w:name w:val="WW8Num26z0"/>
    <w:rPr>
      <w:rFonts w:ascii="Symbol" w:hAnsi="Symbol" w:cs="Symbol"/>
    </w:rPr>
  </w:style>
  <w:style w:type="character" w:styleId="WW8Num26z1">
    <w:name w:val="WW8Num26z1"/>
    <w:rPr>
      <w:rFonts w:ascii="Courier New" w:hAnsi="Courier New" w:cs="Courier New"/>
    </w:rPr>
  </w:style>
  <w:style w:type="character" w:styleId="WW8Num26z2">
    <w:name w:val="WW8Num26z2"/>
    <w:rPr>
      <w:rFonts w:ascii="Wingdings" w:hAnsi="Wingdings" w:cs="Wingdings"/>
    </w:rPr>
  </w:style>
  <w:style w:type="character" w:styleId="WW8Num28z0">
    <w:name w:val="WW8Num28z0"/>
    <w:rPr>
      <w:rFonts w:ascii="Wingdings" w:hAnsi="Wingdings" w:cs="Wingdings"/>
    </w:rPr>
  </w:style>
  <w:style w:type="character" w:styleId="WW8Num28z1">
    <w:name w:val="WW8Num28z1"/>
    <w:rPr>
      <w:rFonts w:ascii="Courier New" w:hAnsi="Courier New" w:cs="Courier New"/>
    </w:rPr>
  </w:style>
  <w:style w:type="character" w:styleId="WW8Num28z3">
    <w:name w:val="WW8Num28z3"/>
    <w:rPr>
      <w:rFonts w:ascii="Symbol" w:hAnsi="Symbol" w:cs="Symbol"/>
    </w:rPr>
  </w:style>
  <w:style w:type="character" w:styleId="WW8Num29z0">
    <w:name w:val="WW8Num29z0"/>
    <w:rPr>
      <w:rFonts w:ascii="Symbol" w:hAnsi="Symbol" w:cs="Symbol"/>
    </w:rPr>
  </w:style>
  <w:style w:type="character" w:styleId="WW8Num29z1">
    <w:name w:val="WW8Num29z1"/>
    <w:rPr>
      <w:rFonts w:ascii="Courier New" w:hAnsi="Courier New" w:cs="Courier New"/>
    </w:rPr>
  </w:style>
  <w:style w:type="character" w:styleId="WW8Num29z2">
    <w:name w:val="WW8Num29z2"/>
    <w:rPr>
      <w:rFonts w:ascii="Wingdings" w:hAnsi="Wingdings" w:cs="Wingdings"/>
    </w:rPr>
  </w:style>
  <w:style w:type="character" w:styleId="WW8Num30z0">
    <w:name w:val="WW8Num30z0"/>
    <w:rPr>
      <w:rFonts w:ascii="Symbol" w:hAnsi="Symbol" w:cs="Symbol"/>
    </w:rPr>
  </w:style>
  <w:style w:type="character" w:styleId="WW8Num30z1">
    <w:name w:val="WW8Num30z1"/>
    <w:rPr>
      <w:rFonts w:ascii="Courier New" w:hAnsi="Courier New" w:cs="Courier New"/>
    </w:rPr>
  </w:style>
  <w:style w:type="character" w:styleId="WW8Num30z2">
    <w:name w:val="WW8Num30z2"/>
    <w:rPr>
      <w:rFonts w:ascii="Wingdings" w:hAnsi="Wingdings" w:cs="Wingdings"/>
    </w:rPr>
  </w:style>
  <w:style w:type="character" w:styleId="WW8Num31z0">
    <w:name w:val="WW8Num31z0"/>
    <w:rPr>
      <w:b/>
    </w:rPr>
  </w:style>
  <w:style w:type="character" w:styleId="WW8Num32z0">
    <w:name w:val="WW8Num32z0"/>
    <w:rPr>
      <w:rFonts w:ascii="Times New Roman" w:hAnsi="Times New Roman" w:cs="Times New Roman"/>
      <w:b/>
      <w:sz w:val="24"/>
    </w:rPr>
  </w:style>
  <w:style w:type="character" w:styleId="WW8Num33z0">
    <w:name w:val="WW8Num33z0"/>
    <w:rPr>
      <w:rFonts w:ascii="Arial" w:hAnsi="Arial" w:eastAsia="Times New Roman" w:cs="Arial"/>
      <w:b/>
    </w:rPr>
  </w:style>
  <w:style w:type="character" w:styleId="WW8Num34z0">
    <w:name w:val="WW8Num34z0"/>
    <w:rPr>
      <w:b/>
    </w:rPr>
  </w:style>
  <w:style w:type="character" w:styleId="WW8Num35z0">
    <w:name w:val="WW8Num35z0"/>
    <w:rPr>
      <w:rFonts w:ascii="Symbol" w:hAnsi="Symbol" w:cs="Symbol"/>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6z0">
    <w:name w:val="WW8Num36z0"/>
    <w:rPr>
      <w:rFonts w:ascii="Symbol" w:hAnsi="Symbol" w:cs="Symbol"/>
    </w:rPr>
  </w:style>
  <w:style w:type="character" w:styleId="WW8Num36z1">
    <w:name w:val="WW8Num36z1"/>
    <w:rPr>
      <w:rFonts w:ascii="Courier New" w:hAnsi="Courier New" w:cs="Courier New"/>
    </w:rPr>
  </w:style>
  <w:style w:type="character" w:styleId="WW8Num36z2">
    <w:name w:val="WW8Num36z2"/>
    <w:rPr>
      <w:rFonts w:ascii="Wingdings" w:hAnsi="Wingdings" w:cs="Wingdings"/>
    </w:rPr>
  </w:style>
  <w:style w:type="character" w:styleId="DefaultParagraphFont">
    <w:name w:val="Default Paragraph Font"/>
    <w:rPr/>
  </w:style>
  <w:style w:type="character" w:styleId="tpa1">
    <w:name w:val="tpa1"/>
    <w:basedOn w:val="DefaultParagraphFont"/>
    <w:rPr/>
  </w:style>
  <w:style w:type="character" w:styleId="ax1">
    <w:name w:val="ax1"/>
    <w:rPr>
      <w:b/>
      <w:bCs/>
      <w:sz w:val="26"/>
      <w:szCs w:val="26"/>
    </w:rPr>
  </w:style>
  <w:style w:type="character" w:styleId="tax1">
    <w:name w:val="tax1"/>
    <w:rPr>
      <w:b/>
      <w:bCs/>
      <w:sz w:val="26"/>
      <w:szCs w:val="26"/>
    </w:rPr>
  </w:style>
  <w:style w:type="character" w:styleId="PageNumber">
    <w:name w:val="page number"/>
    <w:basedOn w:val="DefaultParagraphFont"/>
    <w:rPr/>
  </w:style>
  <w:style w:type="character" w:styleId="ar1">
    <w:name w:val="ar1"/>
    <w:rPr>
      <w:b/>
      <w:bCs/>
      <w:sz w:val="22"/>
      <w:szCs w:val="22"/>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al1">
    <w:name w:val="al1"/>
    <w:rPr>
      <w:b/>
      <w:bCs/>
    </w:rPr>
  </w:style>
  <w:style w:type="character" w:styleId="tal1">
    <w:name w:val="tal1"/>
    <w:basedOn w:val="DefaultParagraphFont"/>
    <w:rPr/>
  </w:style>
  <w:style w:type="character" w:styleId="sp1">
    <w:name w:val="sp1"/>
    <w:rPr>
      <w:b/>
      <w:bCs/>
    </w:rPr>
  </w:style>
  <w:style w:type="character" w:styleId="FooterChar">
    <w:name w:val="Footer Char"/>
    <w:rPr>
      <w:sz w:val="24"/>
      <w:szCs w:val="24"/>
    </w:rPr>
  </w:style>
  <w:style w:type="character" w:styleId="BodyText3Char">
    <w:name w:val="Body Text 3 Char"/>
    <w:rPr>
      <w:b/>
      <w:bCs/>
      <w:sz w:val="24"/>
      <w:szCs w:val="24"/>
      <w:lang w:val="en-GB"/>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Cs w:val="20"/>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Subtitle">
    <w:name w:val="Subtitle"/>
    <w:basedOn w:val="Normal"/>
    <w:next w:val="BodyText"/>
    <w:pPr>
      <w:jc w:val="center"/>
      <w:outlineLvl w:val="0"/>
    </w:pPr>
    <w:rPr>
      <w:rFonts w:ascii="Eurostyle;Arial Narrow" w:hAnsi="Eurostyle;Arial Narrow" w:cs="Eurostyle;Arial Narrow"/>
      <w:b/>
      <w:sz w:val="32"/>
      <w:szCs w:val="20"/>
    </w:rPr>
  </w:style>
  <w:style w:type="paragraph" w:styleId="BodyText3">
    <w:name w:val="Body Text 3"/>
    <w:basedOn w:val="Normal"/>
    <w:pPr>
      <w:tabs>
        <w:tab w:val="clear" w:pos="720"/>
        <w:tab w:val="left" w:pos="5103" w:leader="none"/>
      </w:tabs>
    </w:pPr>
    <w:rPr>
      <w:b/>
      <w:bCs/>
      <w:lang w:val="en-GB"/>
    </w:rPr>
  </w:style>
  <w:style w:type="paragraph" w:styleId="BodyText2">
    <w:name w:val="Body Text 2"/>
    <w:basedOn w:val="Normal"/>
    <w:pPr>
      <w:spacing w:lineRule="auto" w:line="480" w:before="0" w:after="120"/>
    </w:pPr>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left="360" w:right="0"/>
    </w:pPr>
    <w:rPr/>
  </w:style>
  <w:style w:type="paragraph" w:styleId="NormalWeb">
    <w:name w:val="Normal (Web)"/>
    <w:basedOn w:val="Normal"/>
    <w:pPr>
      <w:spacing w:before="280" w:after="280"/>
    </w:pPr>
    <w:rPr/>
  </w:style>
  <w:style w:type="paragraph" w:styleId="BlockText">
    <w:name w:val="Block Text"/>
    <w:basedOn w:val="Normal"/>
    <w:pPr>
      <w:ind w:hanging="0" w:left="1260" w:right="-900"/>
    </w:pPr>
    <w:rPr>
      <w:b/>
      <w:bCs/>
      <w:sz w:val="20"/>
      <w:szCs w:val="20"/>
      <w:lang w:val="ro-RO"/>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11</Pages>
  <Words>3102</Words>
  <Characters>20527</Characters>
  <CharactersWithSpaces>23120</CharactersWithSpaces>
  <Paragraphs>428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2026-01-26T09:11:00Z</dcterms:created>
  <dc:creator>protectiam.tim1</dc:creator>
  <dc:description/>
  <dc:language>en-US</dc:language>
  <cp:lastModifiedBy/>
  <cp:lastPrinted>2018-06-18T16:15:00Z</cp:lastPrinted>
  <dcterms:modified xsi:type="dcterms:W3CDTF">2026-09-24T22:45:17Z</dcterms:modified>
  <cp:revision>8</cp:revision>
  <dc:subject/>
  <dc:title>ANEXA Nr</dc:title>
</cp:coreProperties>
</file>

<file path=docProps/custom.xml><?xml version="1.0" encoding="utf-8"?>
<Properties xmlns="http://schemas.openxmlformats.org/officeDocument/2006/custom-properties" xmlns:vt="http://schemas.openxmlformats.org/officeDocument/2006/docPropsVTypes"/>
</file>