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privind personalul desemnat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Material de instruire în domeniul securității și sănătății în muncă pentru instruirea introductiv – 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Instrucțiuni proprii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Tematicile pentru toate fazele de instruire și programul de instruire – testare la nivelul unității, conform cu periodicitatea adecvat stabilită pentru fiecare loc de muncă / post de lucru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angajare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periodic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Document justificativ de control, privind verificarea tematică la locurile de muncă, informare deficiențe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Regulament intern privind controlul propriu privind respectarea prevederilor legale, a dispozițiilor, instrucțiunilor și reglementărilor interne în domeniul securității și sănătății în muncă (cod R.I.C.P.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Evaluarea riscurilor de accidentare și îmbolnăvire profesională pentru locurile de muncă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VII. Comunicarea, cercetarea, înregistrarea și raportarea evenimentelor, accidentelor de muncă și bolilor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ia măsuri și să furnizeze instrucțiuni pentru a da lucrătorilor posibilitatea să oprească lucrul și/sau să părăsească imediat locul de muncă și să se îndrepte spre o zonă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 xml:space="preserve">prin înființarea unuia sau mai multor servicii interne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își desfășoară activitatea profesională în mod efectiv și cu regularitate în întreprindere și/sau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a urmat cel puțin un program de pregătire în domeniul securității și sănătății în muncă, cu o durată minimă de 40 de ore și conținutul prevăzut în anexa nr. 6 lit. A din H.G. 1425/ 2006, fapt care se atestă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situația în care nu sunt îndeplinite condițiile prevăzute la alin. (1) de mai sus, angajatorul trebuie să desemneze unul sau mai mulți lucrători ori poate organiza serviciul intern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(1) lit. a) - c);</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situația în care nu sunt îndeplinite condițiile prevăzute la alin. (1), angajatorul trebuie să desemneze unul sau mai mulți lucrători ori poate organiza unul sau mai multe servicii interne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lucrătorii desemnați, 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cazul în care serviciile interne de prevenire și protecție nu au capacitățile și aptitudinile necesare pentru efectuarea tuturor activităților de prevenire și protecție prevăzute la art. 15,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Angajatorul va desemna lucrătorul numai din rândul lucrătorilor cu care are încheiat contract individual de muncă cu normă întreagă.</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sau prevederile Art. 51</w:t>
      </w:r>
      <w:r>
        <w:rPr>
          <w:rStyle w:val="tpa1"/>
          <w:rFonts w:eastAsia="Arial" w:cs="Arial" w:ascii="Arial" w:hAnsi="Arial"/>
          <w:bCs/>
          <w:color w:val="auto"/>
          <w:spacing w:val="0"/>
          <w:w w:val="100"/>
          <w:sz w:val="20"/>
          <w:szCs w:val="20"/>
          <w:vertAlign w:val="superscript"/>
          <w:lang w:val="ro-RO"/>
        </w:rPr>
        <w:t>1</w:t>
      </w:r>
      <w:r>
        <w:rPr>
          <w:rStyle w:val="tpa1"/>
          <w:rFonts w:eastAsia="Arial" w:cs="Arial" w:ascii="Arial" w:hAnsi="Arial"/>
          <w:bCs/>
          <w:color w:val="auto"/>
          <w:spacing w:val="0"/>
          <w:w w:val="100"/>
          <w:sz w:val="20"/>
          <w:szCs w:val="20"/>
          <w:lang w:val="ro-RO"/>
        </w:rPr>
        <w:t xml:space="preserve"> lit. a)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modul de colaborare cu lucrătorii desemnați/serviciile interne și/sau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 xml:space="preserve">clauze privind soluționarea litigiilor apărute între părți.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un reprezentant, în cazul întreprinderilor și/sau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2 reprezentanți, în cazul întreprinderilor și/sau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Îndeplinirea cerinței prevăzute la alin. (1) se atestă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instrucțiunile proprii privind instruirea lucrătorilor</w:t>
      </w:r>
      <w:r>
        <w:rPr>
          <w:rStyle w:val="tpt1"/>
          <w:rFonts w:eastAsia="Arial" w:cs="Arial" w:ascii="Arial" w:hAnsi="Arial"/>
          <w:b/>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trebuie să se efectueze în timpul programului de lucru, fie în interiorul, fie în afara întreprinderii și/sau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Dovada instruirii prevăzută la art. 20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R</w:t>
      </w:r>
      <w:r>
        <w:rPr>
          <w:rStyle w:val="tal1"/>
          <w:rFonts w:eastAsia="Arial" w:cs="Arial" w:ascii="Arial" w:hAnsi="Arial"/>
          <w:b/>
          <w:color w:val="auto"/>
          <w:spacing w:val="0"/>
          <w:w w:val="100"/>
          <w:sz w:val="20"/>
          <w:szCs w:val="20"/>
          <w:lang w:val="ro-RO"/>
        </w:rPr>
        <w:t xml:space="preserve">ezultatul instruirii lucrătorilor în domeniul securității și sănătății în muncă se consemnează în mod obligatoriu în fișa de instruire individuală, întocmită pe suport hârtie sau în format electronic, conform informațiilor prevăzute în anexa nr. 11,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1</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2</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conformitate cu prevederile art. 17 alin. (3) lit. o) și alin. (4) din Legea nr.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3</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 xml:space="preserve">(5)</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se păstrează în întreprindere/unitate, pe suport hârtie sau în format electronic, după caz, de la angajare până la data încetării raporturilor de muncă.</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pa1"/>
          <w:rFonts w:eastAsia="Arial" w:cs="Arial" w:ascii="Arial" w:hAnsi="Arial"/>
          <w:b/>
          <w:color w:val="auto"/>
          <w:spacing w:val="0"/>
          <w:w w:val="100"/>
          <w:sz w:val="20"/>
          <w:szCs w:val="20"/>
          <w:lang w:val="ro-RO"/>
        </w:rPr>
        <w:t>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și/sau unitate.</w:t>
      </w:r>
    </w:p>
    <w:p>
      <w:pPr>
        <w:pStyle w:val="Heading1"/>
        <w:keepNext w:val="false"/>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are denumirea de « Material de instruire în domeniul securității și sănătății în muncă pentru instruirea introductiv – 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Style w:val="spar"/>
          <w:rFonts w:eastAsia="Arial" w:cs="Arial" w:ascii="Arial" w:hAnsi="Arial"/>
          <w:b/>
          <w:color w:val="auto"/>
          <w:spacing w:val="0"/>
          <w:w w:val="100"/>
          <w:sz w:val="20"/>
          <w:szCs w:val="20"/>
          <w:shd w:fill="FFFFFF" w:val="clear"/>
          <w:lang w:val="ro-RO"/>
        </w:rPr>
        <w:t>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poartă denumirea de « Instrucțiuni proprii în domeniul securității și sănătății în muncă »</w:t>
      </w:r>
      <w:r>
        <w:rPr>
          <w:rFonts w:eastAsia="Arial" w:cs="Arial" w:ascii="Arial" w:hAnsi="Arial"/>
          <w:b w:val="false"/>
          <w:color w:val="auto"/>
          <w:spacing w:val="0"/>
          <w:w w:val="100"/>
          <w:sz w:val="20"/>
          <w:szCs w:val="20"/>
          <w:lang w:val="ro-RO"/>
        </w:rPr>
        <w:t xml:space="preserve">,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al1"/>
          <w:rFonts w:eastAsia="Arial" w:cs="Arial" w:ascii="Arial" w:hAnsi="Arial"/>
          <w:b/>
          <w:color w:val="auto"/>
          <w:spacing w:val="0"/>
          <w:w w:val="100"/>
          <w:sz w:val="20"/>
          <w:szCs w:val="20"/>
          <w:lang w:val="ro-RO"/>
        </w:rPr>
        <w:t>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D</w:t>
      </w:r>
      <w:r>
        <w:rPr>
          <w:rStyle w:val="spar"/>
          <w:rFonts w:eastAsia="Arial" w:cs="Arial" w:ascii="Arial" w:hAnsi="Arial"/>
          <w:b/>
          <w:color w:val="auto"/>
          <w:spacing w:val="0"/>
          <w:w w:val="100"/>
          <w:sz w:val="20"/>
          <w:szCs w:val="20"/>
          <w:shd w:fill="FFFFFF" w:val="clear"/>
          <w:lang w:val="ro-RO"/>
        </w:rPr>
        <w:t>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periodică suplimentară se va efectua pe baza tematicilor </w:t>
      </w:r>
      <w:r>
        <w:rPr>
          <w:rStyle w:val="tal1"/>
          <w:rFonts w:eastAsia="Arial" w:cs="Arial" w:ascii="Arial" w:hAnsi="Arial"/>
          <w:b/>
          <w:color w:val="auto"/>
          <w:spacing w:val="0"/>
          <w:w w:val="100"/>
          <w:sz w:val="20"/>
          <w:szCs w:val="20"/>
          <w:lang w:val="ro-RO"/>
        </w:rPr>
        <w:t>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 xml:space="preserve">Capitolul VII. Comunicarea, cercetarea, înregistrarea și raportarea evenimentelor, accidentelor de muncă și bolilor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 xml:space="preserve">are următorul înțeles: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Legii nr. 346/ 2002</w:t>
      </w:r>
      <w:r>
        <w:rPr>
          <w:rFonts w:eastAsia="Arial" w:cs="Arial" w:ascii="Arial" w:hAnsi="Arial"/>
          <w:color w:val="auto"/>
          <w:spacing w:val="0"/>
          <w:w w:val="100"/>
          <w:sz w:val="20"/>
          <w:szCs w:val="20"/>
          <w:lang w:val="ro-RO"/>
        </w:rPr>
        <w:t xml:space="preserve">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 aflate în vizită în întreprindere și/sau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proprie inițiativă pentru prevenirea ori înlăturarea unui pericol care amenință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lucrători ai angajatorilor români sau de persoane fizice române, delegați pentru îndeplinirea îndatoririlor de serviciu în afara granițelor țării, pe durată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 xml:space="preserve">Accidentele de muncă se clasifică,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Evaluarea riscurilor cu privire la securitatea și sănătatea în muncă la nivelul întreprinderii și/sau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Completarea măsurilor destinate să promoveze îmbunătățirea securității și sănătății la locul de muncă pentru salariații încadrați în baza unui contract individual de muncă pe durată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semnalizarea de securitate și/sau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document</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Toate informațiile necesare cu privire la modul de utilizare, depozitarea, întreținerea și mentenanța, specificații tehnice și principii de funcționare și a sistemelor de control și securitate, obligații și atenționări specifice, pentru a putea obține maximum de eficiență, performanțe ridicate și evitarea producerii de accidente cauzate de mijlocul de producție pentru fiecare echipament de muncă din dotarea unității.</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 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securității și sănătății în muncă (conform Legii 319/2006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securității și sănătății în muncă (instruirea introductiv – 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307/2006),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furnizeze persoanelor abilitate toate datele și informațiile de care are cunoștință,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asemenea, pentru realizarea instruirii în domeniul situațiilor de urgență,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 – 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(conform Legii 319/ 2006 și H.G. 1425/ 2006), valabile pentru șefii locurilor de muncă vor fi aceleași cu ale lucrătorilor doar că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 2006), valabile pentru șefii locurilor de muncă vor fi aceleași cu ale lucrătorilor doar că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 xml:space="preserve">vor fi suplimentate cu următoarele prevederi</w:t>
      </w:r>
      <w:bookmarkEnd w:id="14"/>
      <w:r>
        <w:rPr>
          <w:rStyle w:val="tpt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 2006, Art. 15)</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 xml:space="preserve">vor fi suplimentate cu următoarele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evaluarea riscurilor pentru securitatea și sănătatea lucrătorilor în vederea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 de vedere al securității muncii, să mențină condițiile de lucru pentru care s-a obținut autorizație și să ceară revizuirea acesteia în cazul modificării condițiilor inițiale pentru care a fost emisă;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lucrătorii care își schimbă locul de muncă sau felul muncii sau își reiau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nouă în domeniul tehnicii de calcul sau alte domenii noi de activitate în cadrul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pentru angajații cu contract de muncă pe durată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să asigure efectuarea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ia măsurile necesare informării compartimentului de securitate a muncii sau lucrătorului desemnat despre angajații care au relații de muncă cu durată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se asigure că sunt consultați angajații și/sau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periodic sau ori de câte ori este cazul, verificarea încadrării nivelului noxelor în limitele admise, prin măsurători efectuate de către organismele abilitate (dacă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cerceteze, înregistreze, declare și să țină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anunțe imediat producerea de avarii tehnice, evenimente, accidente de muncă sau îmbolnăviri profesionale la inspectoratul teritorial de muncă și organele de urmărire penală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 xml:space="preserve">în cazul în care temperaturile atmosferice sau cele din spațiul de lucru sunt ridicate și pot afecta sănătatea (peste 30 °C)</w:t>
      </w:r>
      <w:r>
        <w:rPr>
          <w:rFonts w:eastAsia="Arial" w:cs="Arial" w:ascii="Arial" w:hAnsi="Arial"/>
          <w:bCs/>
          <w:color w:val="auto"/>
          <w:spacing w:val="0"/>
          <w:w w:val="100"/>
          <w:sz w:val="20"/>
          <w:szCs w:val="20"/>
          <w:lang w:val="ro-RO"/>
        </w:rPr>
        <w:t xml:space="preserve">, în funcție de posibilități, aer condiționat sau ventilație. În cazul în care acest lucru nu este posibil se va asigura un litru de apă minerală pe zi pentru fiecare salariat și/sau în raport cu timpul lucrat;</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securitatea și sănătatea în muncă a salariatelor gravide și/sau mame, lăuze sau care alăptează conform OUG nr. 96/2003 privind protecția maternității la locurile de muncă.</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participe la evaluarea riscurilor privind îmbolnăvirile;</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Pentru asigurarea atribuțiilor ce revin structurilor medicale de medicina muncii, angajatorul va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Angajatorii nu au dreptul să intervină prin niciun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Angajatorul va cere medicului de medicină a muncii să evalueze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viață și sănătatea celorlalți angajați la același loc de muncă; 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Lucrătorii care efectuează instruirea trebuie să fie specialiști în securitate și sănătate în muncă și să aibă terminate cursurile de securitatea muncii necesare nivelului cerut de lege.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face tuturor lucrătorilor care au raporturi de muncă cu societatea fie prin angajare, fie prin detașare de la altă societate, la intrarea în societate.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de securitate și sănătate a muncii se efectuează de către conducătorul locului de muncă sau de către serviciul extern de prevenire și protecție, potrivit tematicii de instruire.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 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Instruirea periodică se efectuează de către conducătorul locului de muncă sau de către serviciul extern de prevenire și protecție, potrivit tematicii de instruire.</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{{training.periodicDuration}}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b/>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Angajatorul sau persoana desemnată de acesta are obligația de întocmire a tematicilor anuale de instruire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mijloacelor tehnice, echipamentelor de protecție, substanțelor chimice de stingere care sunt specifice riscurilor care decurg din existența și funcționarea unității, precum și a medicamentelor și antidotului necesare acordării primului ajutor, conform art. 19, alin. (1), litera o din Legea nr. 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Prelucrarea actelor normative noi apărute care reglementează activitatea de apărare împotriva incendiilor, a Legii nr. 307/2006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oprească lucrul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refuze întemeiat executarea unei sarcini de muncă dacă aceasta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au dreptul să ceară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Reprezentantul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{{#workersRepresentativeDecision}}Reprezentanții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sunt desemnați prin decizia internă privind reprezentanții lucrătorilor.{{/workersRepresentativeDecision}}</w:t>
      </w:r>
      <w:r>
        <w:rPr>
          <w:rStyle w:val="tpa1"/>
          <w:rFonts w:eastAsia="Arial" w:cs="Arial" w:ascii="Arial" w:hAnsi="Arial"/>
          <w:color w:val="auto"/>
          <w:spacing w:val="0"/>
          <w:w w:val="100"/>
          <w:sz w:val="20"/>
          <w:szCs w:val="20"/>
          <w:lang w:val="ro-RO"/>
        </w:rPr>
        <w:t xml:space="preserve">{{^workersRepresentativeDecision}}Numărul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nu se încadrează conform HG 1425/ 2006 art. 60, alin. (2), litera c).{{/workersRepresentativeDecision}}</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keepNext/>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Style w:val="tal1"/>
          <w:rFonts w:ascii="Arial" w:hAnsi="Arial" w:cs="Arial"/>
          <w:sz w:val="18"/>
          <w:szCs w:val="18"/>
        </w:rPr>
      </w:pPr>
      <w:r>
        <w:rPr>
          <w:rStyle w:val="tal1"/>
          <w:rFonts w:eastAsia="Arial" w:cs="Arial" w:ascii="Arial" w:hAnsi="Arial"/>
          <w:color w:val="auto"/>
          <w:spacing w:val="0"/>
          <w:w w:val="100"/>
          <w:sz w:val="20"/>
          <w:szCs w:val="20"/>
          <w:lang w:val="ro-RO"/>
        </w:rPr>
        <w:t xml:space="preserve">Conform HG 1425/ 2006, art. 55, reprezentanții lucrătorilor cu răspunderi specifice în domeniul securității și sănătății în muncă trebuie să urmeze un program de pregătire în domeniul securității și sănătății în muncă, cu o durată de cel puțin 40 de ore, cu conținutul minim conform celui prevăzut în anexa nr. 6 lit. A; îndeplinirea cerinței se atestă printr-un document de absolvire a programului de pregătire.</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hotărî prin vot secret </w:t>
      </w:r>
      <w:r>
        <w:rPr>
          <w:rStyle w:val="tal1"/>
          <w:rFonts w:eastAsia="Arial" w:cs="Arial" w:ascii="Arial" w:hAnsi="Arial"/>
          <w:color w:val="auto"/>
          <w:spacing w:val="0"/>
          <w:w w:val="100"/>
          <w:sz w:val="20"/>
          <w:szCs w:val="20"/>
          <w:lang w:val="ro-RO"/>
        </w:rPr>
        <w:t xml:space="preserve">reprezentanții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potrivit listei de semnături ce constituie anexa la procesul-verbal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procesul-verbal de întrunire a adunării generale a salariaților va fi încheiat în 3 (trei) exemplare, din care un exemplar pentru reprezentanții salariaților și două exemplare la angajator sau la persoana desemnată de acesta;</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validată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reprezentanților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sub </w:t>
      </w:r>
      <w:r>
        <w:rPr>
          <w:rStyle w:val="al1"/>
          <w:rFonts w:eastAsia="Arial" w:cs="Arial" w:ascii="Arial" w:hAnsi="Arial"/>
          <w:color w:val="auto"/>
          <w:spacing w:val="0"/>
          <w:w w:val="100"/>
          <w:sz w:val="20"/>
          <w:szCs w:val="20"/>
          <w:lang w:val="ro-RO"/>
        </w:rPr>
        <w:t>50</w:t>
      </w:r>
      <w:r>
        <w:rPr>
          <w:rStyle w:val="al1"/>
          <w:rFonts w:eastAsia="Arial" w:cs="Arial" w:ascii="Arial" w:hAnsi="Arial"/>
          <w:b w:val="false"/>
          <w:color w:val="auto"/>
          <w:spacing w:val="0"/>
          <w:w w:val="100"/>
          <w:sz w:val="20"/>
          <w:szCs w:val="20"/>
          <w:lang w:val="ro-RO"/>
        </w:rPr>
        <w:t xml:space="preserve"> de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Comitetul de securitate și sănătate în muncă este constituit din reprezentanții lucrătorilor cu răspunderi specifice în domeniul securității și sănătății lucrătorilor, pe de o parte, și angajatorul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keepNext/>
        <w:widowControl/>
        <w:numPr>
          <w:ilvl w:val="0"/>
          <w:numId w:val="7"/>
        </w:numPr>
        <w:spacing w:before="0" w:after="40"/>
        <w:jc w:val="left"/>
        <w:rPr>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Fiecărui reprezentant al lucrătorilor în comitetele de securitate și sănătate în muncă i se va acorda timpul necesar exercitării atribuțiilor specifice în domeniul securității și sănătății în muncă.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adusă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 al</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 xml:space="preserve">Prin discriminare se înțelege orice deosebire, excludere, restricție sau preferință, pe bază de rasă, naționalitate, etnie, limbă, religie, categorie socială, convingeri, gen, orientare sexuală, vârstă, dizabilitate, boală cronică necontagioasă, infectare HIV ori apartenență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performanțelor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influențarea negativă a situației lucrătorului în ceea ce privește promovarea profesională, remunerația sau veniturile de orice natură ori accesul la formarea și perfecționarea profesională, în cazul refuzului acestuia de a accepta un comportament nedorit, ce ține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va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 xml:space="preserve">Salariatele gravide, lăuze sau care alăptează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În termen de 10 zile lucrătoare de la data la care angajatorul a fost anunțat în scris de către o salariată că se află în una dintre situațiile prevăzute la art. 2 lit. c)–e) din O.U.G. nr. 96/ 2003, acesta</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să prevină expunerea salariatelor gravide, lăuze sau care alăptează la riscuri</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gravide, lăuze sau care alăptează, care își</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 xml:space="preserve">să transfere la un alt loc de muncă, cu menținerea salariului de bază brut lunar, salariatele gravide, lăuze sau care alăptează, care desfășoară</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gravide, lăuze sau care alăptează, care desfășoară</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să modifice în mod corespunzător condițiile și/ sau orarul de muncă ori, să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 xml:space="preserve">În cazul în care angajatorul, din motive justificate în mod obiectiv, nu poate să îndeplinească obligația prevăzută la art. 9 alin. (2) din O.U.G. nr. 96/ 2003 (punctul 9 de mai sus), salariatele gravide, lăuze sau care alăptează au dreptul</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legislația privind sistemul public de pensii și alte drepturi de asigurări sociale.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