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TEMATICA DE INSTRUIRE PENTRU INSTRUIREA INTRODUCTIV-GENERALĂ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MISSMIG Art. 1 – 320;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PLANUL DE DESFĂȘURARE PENTRU INSTRUIREA INTRODUCTIV-GENERALĂ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16 – 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 – 80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81 – 96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97 – 107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108 – 118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119 – 149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150 – 208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209 – 231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232 – 263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264 – 271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272 – 284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285 – 293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294 – 319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320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1028/2006, H.G. 1146/2006, H.G. 493/2006, H.G. 259/2022; I.P.S.S.M. Art. 1 – 287;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circulația pietonilor și circulația bicicliștilor (atât în interiorul unității,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 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203 – 233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234 – 253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254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la nivelul locurilor de muncă și/ sau posturilor de lucru privind acordarea, utilizarea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