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1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CEN-812/85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 – 7</w:t>
        <w:tab/>
        <w:t xml:space="preserve">   dacă se operează cu nivelurile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 {{workplaceManager.name}}, {{workplaceManager.jobTitle}}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Locurile în care se desfășoară activitatea:</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{{kind}} „{{name}}”: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122"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5"/>
              <w:jc w:val="center"/>
              <w:rPr>
                <w:rFonts w:ascii="Arial" w:hAnsi="Arial" w:cs="Arial"/>
                <w:b/>
                <w:sz w:val="16"/>
              </w:rPr>
            </w:pPr>
            <w:r>
              <w:rPr>
                <w:rFonts w:eastAsia="Arial" w:cs="Arial" w:ascii="Arial" w:hAnsi="Arial"/>
                <w:b/>
                <w:color w:val="auto"/>
                <w:spacing w:val="0"/>
                <w:w w:val="100"/>
                <w:sz w:val="16"/>
                <w:szCs w:val="16"/>
                <w:lang w:val="ro-RO"/>
              </w:rPr>
              <w:t>Coapsă</w:t>
            </w:r>
          </w:p>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left="113" w:right="113"/>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Niciunul dintre factorii de risc identificați nu depășește nivelul de risc 3, astfel încât fișa nu cuprinde factori de risc din domeniul inacceptabil.</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{{#unacceptable}}{{$index}}.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{{measures}}{{/unacceptable}}</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facilităților prevăzute de legislația în vigoare în cazul temperaturilor extreme: perioada caldă(apa minerală carbogazoasă - 2-4 l/ persoană / zi); perioada rece ceai - 0.5 l / persoană/zi);</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