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</w:t>
        <w:tab/>
        <w:t>Evidența exercițiilor de intervenție;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</w:t>
        <w:tab/>
        <w:t>Evidența controalelor interne sau externe în domeniul situațiilor de urgență;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</w:t>
        <w:tab/>
        <w:t>Evidența permiselor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</w:t>
        <w:tab/>
        <w:t>Permis de lucru cu foc;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5.</w:t>
        <w:tab/>
        <w:t>Registru de control pentru instalațiile de detectare, semnalizare, alarmare, alertare, limitare și stingere a incendiilor;</w:t>
      </w:r>
    </w:p>
    <w:p>
      <w:pPr>
        <w:pStyle w:val="Normal"/>
        <w:keepNext w:val="false"/>
        <w:bidi w:val="0"/>
        <w:spacing w:lineRule="auto" w:line="240"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6.</w:t>
        <w:tab/>
        <w:t>Registru de evidență a situației constatate la stingătoarele de incendiu în urma controlului.</w:t>
      </w:r>
    </w:p>
    <w:p>
      <w:pPr>
        <w:pStyle w:val="Normal"/>
        <w:keepNext w:val="true"/>
        <w:bidi w:val="0"/>
        <w:spacing w:lineRule="auto" w:line="240" w:before="14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2026-10-10T16:46:23Z</dcterms:modified>
  <cp:revision>1</cp:revision>
  <dc:subject/>
  <dc:title/>
</cp:coreProperties>
</file>