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OSINT-Themed Game Development</w:t>
      </w:r>
    </w:p>
    <w:p>
      <w:pPr>
        <w:spacing w:after="80"/>
        <w:jc w:val="center"/>
      </w:pPr>
      <w:r>
        <w:rPr>
          <w:color w:val="4a5568"/>
          <w:sz w:val="26"/>
          <w:szCs w:val="26"/>
        </w:rPr>
        <w:t xml:space="preserve">Strategy, Tooling, Harness Assessment &amp; Concept Directions</w:t>
      </w:r>
    </w:p>
    <w:p>
      <w:pPr>
        <w:spacing w:after="400"/>
        <w:jc w:val="center"/>
      </w:pPr>
      <w:r>
        <w:rPr>
          <w:i/>
          <w:iCs/>
          <w:color w:val="718096"/>
          <w:sz w:val="20"/>
          <w:szCs w:val="20"/>
        </w:rPr>
        <w:t xml:space="preserve">Synthesized from project discussion — October 2026</w:t>
      </w:r>
    </w:p>
    <w:p>
      <w:pPr>
        <w:pStyle w:val="Heading1"/>
      </w:pPr>
      <w:r>
        <w:t xml:space="preserve">1. Project Vision</w:t>
      </w:r>
    </w:p>
    <w:p>
      <w:pPr>
        <w:spacing w:after="120"/>
      </w:pPr>
      <w:r>
        <w:t xml:space="preserve">The goal is to build one or more high-quality video games themed around Open Source Intelligence (OSINT), data fusion, and geopolitical analysis. The work draws directly on professional experience in multi-source data integration, geospatial and streaming intelligence, and dashboarding for defense-related problems—specifically early work fusing heterogeneous sources into a coherent picture of the geopolitical zeitgeist across greater Oceania.</w:t>
      </w:r>
    </w:p>
    <w:p>
      <w:pPr>
        <w:spacing w:after="120"/>
      </w:pPr>
      <w:r>
        <w:t xml:space="preserve">The project is intended as a multi-title effort (three or four games) that remains publicly releasable, avoids operational or classified techniques, and leverages modern AI coding agents under a disciplined process harness.</w:t>
      </w:r>
    </w:p>
    <w:p>
      <w:pPr>
        <w:pStyle w:val="Heading1"/>
      </w:pPr>
      <w:r>
        <w:t xml:space="preserve">2. Foundations for a First-Time Game Developer</w:t>
      </w:r>
    </w:p>
    <w:p>
      <w:pPr>
        <w:spacing w:after="120"/>
      </w:pPr>
      <w:r>
        <w:t xml:space="preserve">High-quality games require far more time and iteration than most first-time developers expect. The recommended approach is to treat the first completed game as a polished vertical slice rather than a full vision realization.</w:t>
      </w:r>
    </w:p>
    <w:p>
      <w:pPr>
        <w:pStyle w:val="Heading2"/>
      </w:pPr>
      <w:r>
        <w:t xml:space="preserve">Learning Path</w:t>
      </w:r>
    </w:p>
    <w:p>
      <w:pPr>
        <w:pStyle w:val="ListParagraph"/>
        <w:numPr>
          <w:ilvl w:val="0"/>
          <w:numId w:val="2"/>
        </w:numPr>
      </w:pPr>
      <w:r>
        <w:rPr>
          <w:b/>
          <w:bCs/>
        </w:rPr>
        <w:t xml:space="preserve">Play the inspiration set: </w:t>
      </w:r>
      <w:r>
        <w:t xml:space="preserve">Her Story / Telling Lies / Immortality, Return of the Obra Dinn, The Case of the Golden Idol, Hypnospace Outlaw, Orwell series, Shadows of Doubt, and niche OSINT-adjacent titles such as The Case of Andrew D.</w:t>
      </w:r>
    </w:p>
    <w:p>
      <w:pPr>
        <w:pStyle w:val="ListParagraph"/>
        <w:numPr>
          <w:ilvl w:val="0"/>
          <w:numId w:val="2"/>
        </w:numPr>
      </w:pPr>
      <w:r>
        <w:rPr>
          <w:b/>
          <w:bCs/>
        </w:rPr>
        <w:t xml:space="preserve">Choose an engine: </w:t>
      </w:r>
      <w:r>
        <w:t xml:space="preserve">Godot is the strongest default for a technical solo developer (free, open-source, Python-like GDScript, excellent 2D with improving 3D). Unity is the alternative if the largest asset/tutorial ecosystem is preferred. Unreal only if high-end 3D is non-negotiable from the start.</w:t>
      </w:r>
    </w:p>
    <w:p>
      <w:pPr>
        <w:pStyle w:val="ListParagraph"/>
        <w:numPr>
          <w:ilvl w:val="0"/>
          <w:numId w:val="2"/>
        </w:numPr>
      </w:pPr>
      <w:r>
        <w:rPr>
          <w:b/>
          <w:bCs/>
        </w:rPr>
        <w:t xml:space="preserve">Ship tiny games first: </w:t>
      </w:r>
      <w:r>
        <w:t xml:space="preserve">Complete one official beginner tutorial end-to-end, then several 1–2 hour original experiments before committing to the main project.</w:t>
      </w:r>
    </w:p>
    <w:p>
      <w:pPr>
        <w:pStyle w:val="ListParagraph"/>
        <w:numPr>
          <w:ilvl w:val="0"/>
          <w:numId w:val="2"/>
        </w:numPr>
        <w:spacing w:after="200"/>
      </w:pPr>
      <w:r>
        <w:rPr>
          <w:b/>
          <w:bCs/>
        </w:rPr>
        <w:t xml:space="preserve">Join a game jam: </w:t>
      </w:r>
      <w:r>
        <w:t xml:space="preserve">Forced scope control is one of the highest-leverage habits.</w:t>
      </w:r>
    </w:p>
    <w:p>
      <w:pPr>
        <w:pStyle w:val="Heading1"/>
      </w:pPr>
      <w:r>
        <w:t xml:space="preserve">3. AI Tooling &amp; Model Recommendations</w:t>
      </w:r>
    </w:p>
    <w:p>
      <w:pPr>
        <w:spacing w:after="120"/>
      </w:pPr>
      <w:r>
        <w:t xml:space="preserve">The build will be co-developed with AI agents. Primary tools under consideration: GitHub Copilot for interactive editing and Prime Agent (RLM harness) using an OpenRouter API key for longer autonomous sessions.</w:t>
      </w:r>
    </w:p>
    <w:p>
      <w:pPr>
        <w:pStyle w:val="Heading2"/>
      </w:pPr>
      <w:r>
        <w:t xml:space="preserve">Pareto-Frontier Model Guidance (OpenRouter, late 2026)</w:t>
      </w:r>
    </w:p>
    <w:p>
      <w:pPr>
        <w:spacing w:after="80"/>
      </w:pPr>
      <w:r>
        <w:rPr>
          <w:b/>
          <w:bCs/>
        </w:rPr>
        <w:t xml:space="preserve">Workhorse / bulk generation (default for volume):</w:t>
      </w:r>
    </w:p>
    <w:p>
      <w:pPr>
        <w:pStyle w:val="ListParagraph"/>
        <w:numPr>
          <w:ilvl w:val="0"/>
          <w:numId w:val="3"/>
        </w:numPr>
      </w:pPr>
      <w:r>
        <w:t xml:space="preserve">DeepSeek V4.1 Flash (and close variants) — dominates real coding and agentic traffic share at very low cost.</w:t>
      </w:r>
    </w:p>
    <w:p>
      <w:pPr>
        <w:pStyle w:val="ListParagraph"/>
        <w:numPr>
          <w:ilvl w:val="0"/>
          <w:numId w:val="3"/>
        </w:numPr>
        <w:spacing w:after="120"/>
      </w:pPr>
      <w:r>
        <w:t xml:space="preserve">GLM 5.3 Flash and MiMo-V2.6-Flash as strong alternatives.</w:t>
      </w:r>
    </w:p>
    <w:p>
      <w:pPr>
        <w:spacing w:after="80"/>
      </w:pPr>
      <w:r>
        <w:rPr>
          <w:b/>
          <w:bCs/>
        </w:rPr>
        <w:t xml:space="preserve">Reliable mid-tier (architecture, systems, evaluation):</w:t>
      </w:r>
    </w:p>
    <w:p>
      <w:pPr>
        <w:pStyle w:val="ListParagraph"/>
        <w:numPr>
          <w:ilvl w:val="0"/>
          <w:numId w:val="3"/>
        </w:numPr>
      </w:pPr>
      <w:r>
        <w:t xml:space="preserve">Claude Sonnet 5.5 — frequently tops coding-agent and game-dev Elo boards; excellent instruction following and long-context coherence. Strong default inside GitHub Copilot.</w:t>
      </w:r>
    </w:p>
    <w:p>
      <w:pPr>
        <w:pStyle w:val="ListParagraph"/>
        <w:numPr>
          <w:ilvl w:val="0"/>
          <w:numId w:val="3"/>
        </w:numPr>
        <w:spacing w:after="120"/>
      </w:pPr>
      <w:r>
        <w:t xml:space="preserve">GPT-6.1 Sol / GPT-6 Luna, GLM 5.3, MiMo-V2.6-Pro, selected Qwen variants.</w:t>
      </w:r>
    </w:p>
    <w:p>
      <w:pPr>
        <w:spacing w:after="80"/>
      </w:pPr>
      <w:r>
        <w:rPr>
          <w:b/>
          <w:bCs/>
        </w:rPr>
        <w:t xml:space="preserve">Frontier escalation (use sparingly):</w:t>
      </w:r>
    </w:p>
    <w:p>
      <w:pPr>
        <w:pStyle w:val="ListParagraph"/>
        <w:numPr>
          <w:ilvl w:val="0"/>
          <w:numId w:val="3"/>
        </w:numPr>
      </w:pPr>
      <w:r>
        <w:t xml:space="preserve">Claude Opus 5.5 / Fable-class for hard architecture or when cheaper models stall.</w:t>
      </w:r>
    </w:p>
    <w:p>
      <w:pPr>
        <w:pStyle w:val="ListParagraph"/>
        <w:numPr>
          <w:ilvl w:val="0"/>
          <w:numId w:val="3"/>
        </w:numPr>
        <w:spacing w:after="120"/>
      </w:pPr>
      <w:r>
        <w:t xml:space="preserve">OpenRouter Pareto Code router or Pareto 26.10 composite for automatic cost-optimal routing.</w:t>
      </w:r>
    </w:p>
    <w:p>
      <w:pPr>
        <w:spacing w:after="200"/>
      </w:pPr>
      <w:r>
        <w:rPr>
          <w:b/>
          <w:bCs/>
        </w:rPr>
        <w:t xml:space="preserve">Practical routing: </w:t>
      </w:r>
      <w:r>
        <w:t xml:space="preserve">Default to DeepSeek Flash-class for bulk work and agent loops; escalate to Sonnet-class for architecture and important evaluations; reserve Opus-class for genuine hard problems. Track cost per task type early.</w:t>
      </w:r>
    </w:p>
    <w:p>
      <w:pPr>
        <w:pStyle w:val="Heading1"/>
      </w:pPr>
      <w:r>
        <w:t xml:space="preserve">4. Meridian Harness Assessment</w:t>
      </w:r>
    </w:p>
    <w:p>
      <w:pPr>
        <w:spacing w:after="120"/>
      </w:pPr>
      <w:r>
        <w:t xml:space="preserve">Meridian (github.com/PCSchmidt/meridian) is a purpose-built agent harness that addresses the predictable failure modes of long-running AI coding agents: hallucinated completion, context loss across sessions, and generous self-evaluation.</w:t>
      </w:r>
    </w:p>
    <w:p>
      <w:pPr>
        <w:pStyle w:val="Heading2"/>
      </w:pPr>
      <w:r>
        <w:t xml:space="preserve">Core Mechanisms</w:t>
      </w:r>
    </w:p>
    <w:p>
      <w:pPr>
        <w:pStyle w:val="ListParagraph"/>
        <w:numPr>
          <w:ilvl w:val="0"/>
          <w:numId w:val="3"/>
        </w:numPr>
      </w:pPr>
      <w:r>
        <w:rPr>
          <w:b/>
          <w:bCs/>
        </w:rPr>
        <w:t xml:space="preserve">Enforced gate DAG (YAML): </w:t>
      </w:r>
      <w:r>
        <w:t xml:space="preserve">Project-specific checkpoints the agent cannot skip. Advancement is blocked until mechanical pre-conditions pass.</w:t>
      </w:r>
    </w:p>
    <w:p>
      <w:pPr>
        <w:pStyle w:val="ListParagraph"/>
        <w:numPr>
          <w:ilvl w:val="0"/>
          <w:numId w:val="3"/>
        </w:numPr>
      </w:pPr>
      <w:r>
        <w:rPr>
          <w:b/>
          <w:bCs/>
        </w:rPr>
        <w:t xml:space="preserve">Independent Gate Evaluator: </w:t>
      </w:r>
      <w:r>
        <w:t xml:space="preserve">Separate subagent in a fresh context, adversarially instructed. Closes the measured ~3.0-point self-grading gap.</w:t>
      </w:r>
    </w:p>
    <w:p>
      <w:pPr>
        <w:pStyle w:val="ListParagraph"/>
        <w:numPr>
          <w:ilvl w:val="0"/>
          <w:numId w:val="3"/>
        </w:numPr>
      </w:pPr>
      <w:r>
        <w:rPr>
          <w:b/>
          <w:bCs/>
        </w:rPr>
        <w:t xml:space="preserve">Schema-validated persistent memory: </w:t>
      </w:r>
      <w:r>
        <w:t xml:space="preserve">Semantic patterns, episodic events, and calibration data that survive session resets.</w:t>
      </w:r>
    </w:p>
    <w:p>
      <w:pPr>
        <w:pStyle w:val="ListParagraph"/>
        <w:numPr>
          <w:ilvl w:val="0"/>
          <w:numId w:val="3"/>
        </w:numPr>
      </w:pPr>
      <w:r>
        <w:rPr>
          <w:b/>
          <w:bCs/>
        </w:rPr>
        <w:t xml:space="preserve">Reflexion / calibration loop: </w:t>
      </w:r>
      <w:r>
        <w:t xml:space="preserve">Predicted vs. actual effort after each gate so estimates improve over time.</w:t>
      </w:r>
    </w:p>
    <w:p>
      <w:pPr>
        <w:pStyle w:val="ListParagraph"/>
        <w:numPr>
          <w:ilvl w:val="0"/>
          <w:numId w:val="3"/>
        </w:numPr>
        <w:spacing w:after="120"/>
      </w:pPr>
      <w:r>
        <w:rPr>
          <w:b/>
          <w:bCs/>
        </w:rPr>
        <w:t xml:space="preserve">Engineer-legible telemetry: </w:t>
      </w:r>
      <w:r>
        <w:t xml:space="preserve">Structured JSONL of every gate transition, block, and verdict.</w:t>
      </w:r>
    </w:p>
    <w:p>
      <w:pPr>
        <w:pStyle w:val="Heading2"/>
      </w:pPr>
      <w:r>
        <w:t xml:space="preserve">Fit for This Project</w:t>
      </w:r>
    </w:p>
    <w:p>
      <w:pPr>
        <w:spacing w:after="120"/>
      </w:pPr>
      <w:r>
        <w:t xml:space="preserve">Meridian is a high-value fit. An ambitious multi-session OSINT/geopolitical game is exactly the class of project where silent drift, unverified “done” claims, and context loss destroy quality. The independent evaluator is particularly useful for content integrity, case solvability, and assessment fairness—areas that are hard to unit-test. The existing ml-research recipe’s data-contract gate provides a useful pattern for content and analytical contracts.</w:t>
      </w:r>
    </w:p>
    <w:p>
      <w:pPr>
        <w:spacing w:after="200"/>
      </w:pPr>
      <w:r>
        <w:rPr>
          <w:b/>
          <w:bCs/>
        </w:rPr>
        <w:t xml:space="preserve">Recommendation: </w:t>
      </w:r>
      <w:r>
        <w:t xml:space="preserve">Install Meridian early (or immediately after the first tiny prototype). Adapt a gate DAG around core-loop playability, content-pipeline stability, one complete fair case, and polish/playtest milestones. Pair cheap high-volume models for generation with Meridian’s process boundaries.</w:t>
      </w:r>
    </w:p>
    <w:p>
      <w:pPr>
        <w:pStyle w:val="Heading1"/>
      </w:pPr>
      <w:r>
        <w:t xml:space="preserve">5. Defense-Aligned Game Concept Directions</w:t>
      </w:r>
    </w:p>
    <w:p>
      <w:pPr>
        <w:spacing w:after="120"/>
      </w:pPr>
      <w:r>
        <w:t xml:space="preserve">Four directions that leverage professional experience in multi-source fusion, Oceania/Indo-Pacific geopolitics, and dashboarding while remaining publicly releasable.</w:t>
      </w:r>
    </w:p>
    <w:p>
      <w:pPr>
        <w:pStyle w:val="Heading2"/>
      </w:pPr>
      <w:r>
        <w:t xml:space="preserve">Concept 1 — Oceania Watch / Zeitgeist Desk</w:t>
      </w:r>
    </w:p>
    <w:p>
      <w:pPr>
        <w:spacing w:after="80"/>
      </w:pPr>
      <w:r>
        <w:rPr>
          <w:i/>
          <w:iCs/>
        </w:rPr>
        <w:t xml:space="preserve">Closest translation of the original professional assignment.</w:t>
      </w:r>
    </w:p>
    <w:p>
      <w:pPr>
        <w:spacing w:after="80"/>
      </w:pPr>
      <w:r>
        <w:t xml:space="preserve">Player is lead analyst on a multi-source fusion desk covering the Southwest Pacific and greater Oceania. Streaming feeds, open reporting, commercial imagery, AIS, social signals, economic indicators, and diplomatic reporting arrive continuously. The task is to maintain a living “zeitgeist” picture—relationships, influence vectors, emerging flashpoints, climate-security linkages—and produce structured assessments and interactive dashboards.</w:t>
      </w:r>
    </w:p>
    <w:p>
      <w:pPr>
        <w:spacing w:after="80"/>
      </w:pPr>
      <w:r>
        <w:rPr>
          <w:b/>
          <w:bCs/>
        </w:rPr>
        <w:t xml:space="preserve">Pillars: </w:t>
      </w:r>
      <w:r>
        <w:t xml:space="preserve">multi-source fusion &amp; entity resolution; living knowledge/influence graph; assessment and dashboard products that must survive independent evaluation; uncertainty management.</w:t>
      </w:r>
    </w:p>
    <w:p>
      <w:pPr>
        <w:spacing w:after="160"/>
      </w:pPr>
      <w:r>
        <w:rPr>
          <w:b/>
          <w:bCs/>
        </w:rPr>
        <w:t xml:space="preserve">Style: </w:t>
      </w:r>
      <w:r>
        <w:t xml:space="preserve">Primarily high-polish multi-monitor desktop simulation; optional first-person briefing or floor-walking segments.</w:t>
      </w:r>
    </w:p>
    <w:p>
      <w:pPr>
        <w:pStyle w:val="Heading2"/>
      </w:pPr>
      <w:r>
        <w:t xml:space="preserve">Concept 2 — Island Chain Operator</w:t>
      </w:r>
    </w:p>
    <w:p>
      <w:pPr>
        <w:spacing w:after="80"/>
      </w:pPr>
      <w:r>
        <w:rPr>
          <w:i/>
          <w:iCs/>
        </w:rPr>
        <w:t xml:space="preserve">Realistic first-person framing.</w:t>
      </w:r>
    </w:p>
    <w:p>
      <w:pPr>
        <w:spacing w:after="80"/>
      </w:pPr>
      <w:r>
        <w:t xml:space="preserve">Player is a deployed analyst/liaison/technical specialist operating across Pacific island nations and Australian approaches during intensifying great-power competition. Focus is human-scale and peripheral: port visits, infrastructure, security cooperation, fisheries, climate impacts, local politics, and the quiet contest for influence. Collection and validation feed higher-level dashboards.</w:t>
      </w:r>
    </w:p>
    <w:p>
      <w:pPr>
        <w:spacing w:after="80"/>
      </w:pPr>
      <w:r>
        <w:rPr>
          <w:b/>
          <w:bCs/>
        </w:rPr>
        <w:t xml:space="preserve">Pillars: </w:t>
      </w:r>
      <w:r>
        <w:t xml:space="preserve">first-person exploration in high-fidelity island/port environments; multi-source collection &amp; verification; personal and organizational influence picture; moral/practical ambiguity.</w:t>
      </w:r>
    </w:p>
    <w:p>
      <w:pPr>
        <w:spacing w:after="160"/>
      </w:pPr>
      <w:r>
        <w:rPr>
          <w:b/>
          <w:bCs/>
        </w:rPr>
        <w:t xml:space="preserve">Style: </w:t>
      </w:r>
      <w:r>
        <w:t xml:space="preserve">Realistic 1st-person 3D with strong analytical backbone.</w:t>
      </w:r>
    </w:p>
    <w:p>
      <w:pPr>
        <w:pStyle w:val="Heading2"/>
      </w:pPr>
      <w:r>
        <w:t xml:space="preserve">Concept 3 — Second Island Future</w:t>
      </w:r>
    </w:p>
    <w:p>
      <w:pPr>
        <w:spacing w:after="80"/>
      </w:pPr>
      <w:r>
        <w:rPr>
          <w:i/>
          <w:iCs/>
        </w:rPr>
        <w:t xml:space="preserve">Projected geopolitical sandbox.</w:t>
      </w:r>
    </w:p>
    <w:p>
      <w:pPr>
        <w:spacing w:after="80"/>
      </w:pPr>
      <w:r>
        <w:t xml:space="preserve">Near-future (late 2020s–mid 2030s) strategic and analytical game set in an evolving Indo-Pacific/Oceania order. Current trends (competing security architectures, infrastructure and access competition, AUKUS and regional responses, Pacific agency, undersea and maritime domain awareness) serve as the springboard. Players shape or respond to trajectories of influence, access, security cooperation, economic statecraft, and climate pressure.</w:t>
      </w:r>
    </w:p>
    <w:p>
      <w:pPr>
        <w:spacing w:after="160"/>
      </w:pPr>
      <w:r>
        <w:rPr>
          <w:b/>
          <w:bCs/>
        </w:rPr>
        <w:t xml:space="preserve">Pillars: </w:t>
      </w:r>
      <w:r>
        <w:t xml:space="preserve">living regional model; intelligence/assessment layer that determines what is known vs. what is true; dashboard and briefing systems as primary interface; branching futures.</w:t>
      </w:r>
    </w:p>
    <w:p>
      <w:pPr>
        <w:pStyle w:val="Heading2"/>
      </w:pPr>
      <w:r>
        <w:t xml:space="preserve">Concept 4 — Hybrid Briefing-Room-to-Field Series</w:t>
      </w:r>
    </w:p>
    <w:p>
      <w:pPr>
        <w:spacing w:after="80"/>
      </w:pPr>
      <w:r>
        <w:t xml:space="preserve">Three linked but separable experiences sharing a universe and data model: (1) pure desk/fusion game, (2) grounded 1st-person field experience, (3) higher-level strategic or multiplayer assessment layer. Shared systems (entity resolution, influence graph, assessment quality, dashboard products) create coherence while allowing earlier vertical slices.</w:t>
      </w:r>
    </w:p>
    <w:p>
      <w:pPr>
        <w:spacing w:after="200"/>
      </w:pPr>
      <w:r>
        <w:t xml:space="preserve">Maps especially cleanly onto Meridian gates—each major system or title becomes a gated phase.</w:t>
      </w:r>
    </w:p>
    <w:p>
      <w:pPr>
        <w:pStyle w:val="Heading1"/>
      </w:pPr>
      <w:r>
        <w:t xml:space="preserve">6. Recommended Starting Path</w:t>
      </w:r>
    </w:p>
    <w:p>
      <w:pPr>
        <w:spacing w:after="120"/>
      </w:pPr>
      <w:r>
        <w:t xml:space="preserve">Lead with a refined version of Concept 1 (Oceania Watch / Zeitgeist Desk) or a tightly scoped hybrid of Concepts 1 and 2. Rationale:</w:t>
      </w:r>
    </w:p>
    <w:p>
      <w:pPr>
        <w:pStyle w:val="ListParagraph"/>
        <w:numPr>
          <w:ilvl w:val="0"/>
          <w:numId w:val="3"/>
        </w:numPr>
      </w:pPr>
      <w:r>
        <w:t xml:space="preserve">Highest alignment with actual professional experience and data-fusion/dashboard skill set.</w:t>
      </w:r>
    </w:p>
    <w:p>
      <w:pPr>
        <w:pStyle w:val="ListParagraph"/>
        <w:numPr>
          <w:ilvl w:val="0"/>
          <w:numId w:val="3"/>
        </w:numPr>
      </w:pPr>
      <w:r>
        <w:t xml:space="preserve">Clear, evaluable core loop (assessment quality and information integrity can be scored by Meridian’s independent evaluator).</w:t>
      </w:r>
    </w:p>
    <w:p>
      <w:pPr>
        <w:pStyle w:val="ListParagraph"/>
        <w:numPr>
          <w:ilvl w:val="0"/>
          <w:numId w:val="3"/>
        </w:numPr>
      </w:pPr>
      <w:r>
        <w:t xml:space="preserve">Distinctive, under-served setting that is currently geopolitically salient.</w:t>
      </w:r>
    </w:p>
    <w:p>
      <w:pPr>
        <w:pStyle w:val="ListParagraph"/>
        <w:numPr>
          <w:ilvl w:val="0"/>
          <w:numId w:val="3"/>
        </w:numPr>
      </w:pPr>
      <w:r>
        <w:t xml:space="preserve">Easier to prototype information architecture before full 1st-person production values.</w:t>
      </w:r>
    </w:p>
    <w:p>
      <w:pPr>
        <w:pStyle w:val="ListParagraph"/>
        <w:numPr>
          <w:ilvl w:val="0"/>
          <w:numId w:val="3"/>
        </w:numPr>
        <w:spacing w:after="200"/>
      </w:pPr>
      <w:r>
        <w:t xml:space="preserve">Natural expansion path into field vignettes or strategic layers.</w:t>
      </w:r>
    </w:p>
    <w:p>
      <w:pPr>
        <w:spacing w:after="200"/>
      </w:pPr>
      <w:r>
        <w:t xml:space="preserve">If immersive 1st-person is non-negotiable from day one, begin with a focused Island Chain Operator vertical slice (one island or port complex + one evolving influence situation) while keeping fusion/dashboard systems as the persistent backbone.</w:t>
      </w:r>
    </w:p>
    <w:p>
      <w:pPr>
        <w:pStyle w:val="Heading1"/>
      </w:pPr>
      <w:r>
        <w:t xml:space="preserve">7. Decisions Required Before Full Spec &amp; Architecture</w:t>
      </w:r>
    </w:p>
    <w:p>
      <w:pPr>
        <w:pStyle w:val="ListParagraph"/>
        <w:numPr>
          <w:ilvl w:val="0"/>
          <w:numId w:val="4"/>
        </w:numPr>
      </w:pPr>
      <w:r>
        <w:rPr>
          <w:b/>
          <w:bCs/>
        </w:rPr>
        <w:t xml:space="preserve">Engine and primary language </w:t>
      </w:r>
      <w:r>
        <w:t xml:space="preserve">(Godot/GDScript recommended default; Unity/C# as alternative).</w:t>
      </w:r>
    </w:p>
    <w:p>
      <w:pPr>
        <w:pStyle w:val="ListParagraph"/>
        <w:numPr>
          <w:ilvl w:val="0"/>
          <w:numId w:val="4"/>
        </w:numPr>
      </w:pPr>
      <w:r>
        <w:rPr>
          <w:b/>
          <w:bCs/>
        </w:rPr>
        <w:t xml:space="preserve">Core fantasy and v1 scope </w:t>
      </w:r>
      <w:r>
        <w:t xml:space="preserve">— one complete polished investigation/assessment case versus procedural generator versus broader simulation.</w:t>
      </w:r>
    </w:p>
    <w:p>
      <w:pPr>
        <w:pStyle w:val="ListParagraph"/>
        <w:numPr>
          <w:ilvl w:val="0"/>
          <w:numId w:val="4"/>
        </w:numPr>
      </w:pPr>
      <w:r>
        <w:rPr>
          <w:b/>
          <w:bCs/>
        </w:rPr>
        <w:t xml:space="preserve">Content generation pipeline </w:t>
      </w:r>
      <w:r>
        <w:t xml:space="preserve">— balance of hand-authored, procedurally generated, and LLM-generated + validated material.</w:t>
      </w:r>
    </w:p>
    <w:p>
      <w:pPr>
        <w:pStyle w:val="ListParagraph"/>
        <w:numPr>
          <w:ilvl w:val="0"/>
          <w:numId w:val="4"/>
        </w:numPr>
      </w:pPr>
      <w:r>
        <w:rPr>
          <w:b/>
          <w:bCs/>
        </w:rPr>
        <w:t xml:space="preserve">Exact agent workflow division </w:t>
      </w:r>
      <w:r>
        <w:t xml:space="preserve">— Copilot vs. Prime Agent/RLM vs. human; version control and review practices for AI-generated code.</w:t>
      </w:r>
    </w:p>
    <w:p>
      <w:pPr>
        <w:pStyle w:val="ListParagraph"/>
        <w:numPr>
          <w:ilvl w:val="0"/>
          <w:numId w:val="4"/>
        </w:numPr>
      </w:pPr>
      <w:r>
        <w:rPr>
          <w:b/>
          <w:bCs/>
        </w:rPr>
        <w:t xml:space="preserve">Target platforms and non-code assets </w:t>
      </w:r>
      <w:r>
        <w:t xml:space="preserve">— art, UI, sound, writing pipeline.</w:t>
      </w:r>
    </w:p>
    <w:p>
      <w:pPr>
        <w:pStyle w:val="ListParagraph"/>
        <w:numPr>
          <w:ilvl w:val="0"/>
          <w:numId w:val="4"/>
        </w:numPr>
      </w:pPr>
      <w:r>
        <w:rPr>
          <w:b/>
          <w:bCs/>
        </w:rPr>
        <w:t xml:space="preserve">AI spend ceiling and cost tracking method.</w:t>
      </w:r>
    </w:p>
    <w:p>
      <w:pPr>
        <w:pStyle w:val="ListParagraph"/>
        <w:numPr>
          <w:ilvl w:val="0"/>
          <w:numId w:val="4"/>
        </w:numPr>
        <w:spacing w:after="200"/>
      </w:pPr>
      <w:r>
        <w:rPr>
          <w:b/>
          <w:bCs/>
        </w:rPr>
        <w:t xml:space="preserve">Success criteria for the first vertical slice.</w:t>
      </w:r>
    </w:p>
    <w:p>
      <w:pPr>
        <w:pStyle w:val="Heading1"/>
      </w:pPr>
      <w:r>
        <w:t xml:space="preserve">8. Immediate Next Steps</w:t>
      </w:r>
    </w:p>
    <w:p>
      <w:pPr>
        <w:pStyle w:val="ListParagraph"/>
        <w:numPr>
          <w:ilvl w:val="0"/>
          <w:numId w:val="2"/>
        </w:numPr>
      </w:pPr>
      <w:r>
        <w:t xml:space="preserve">Write a short design brief (core loop, target feel, one example case) and a technical constraints document.</w:t>
      </w:r>
    </w:p>
    <w:p>
      <w:pPr>
        <w:pStyle w:val="ListParagraph"/>
        <w:numPr>
          <w:ilvl w:val="0"/>
          <w:numId w:val="2"/>
        </w:numPr>
      </w:pPr>
      <w:r>
        <w:t xml:space="preserve">Install Meridian into a new project repository and draft an initial gate DAG.</w:t>
      </w:r>
    </w:p>
    <w:p>
      <w:pPr>
        <w:pStyle w:val="ListParagraph"/>
        <w:numPr>
          <w:ilvl w:val="0"/>
          <w:numId w:val="2"/>
        </w:numPr>
      </w:pPr>
      <w:r>
        <w:t xml:space="preserve">Complete one engine beginner tutorial end-to-end.</w:t>
      </w:r>
    </w:p>
    <w:p>
      <w:pPr>
        <w:pStyle w:val="ListParagraph"/>
        <w:numPr>
          <w:ilvl w:val="0"/>
          <w:numId w:val="2"/>
        </w:numPr>
      </w:pPr>
      <w:r>
        <w:t xml:space="preserve">Prototype the absolute core information/fusion loop in isolation.</w:t>
      </w:r>
    </w:p>
    <w:p>
      <w:pPr>
        <w:pStyle w:val="ListParagraph"/>
        <w:numPr>
          <w:ilvl w:val="0"/>
          <w:numId w:val="2"/>
        </w:numPr>
        <w:spacing w:after="300"/>
      </w:pPr>
      <w:r>
        <w:t xml:space="preserve">Use a strong mid-tier model (Sonnet-class) to expand the brief into a lightweight architecture and first vertical-slice plan; use cheap Flash models for subsequent bulk implementation under Meridian gates.</w:t>
      </w:r>
    </w:p>
    <w:p>
      <w:pPr>
        <w:spacing w:before="200"/>
      </w:pPr>
      <w:r>
        <w:rPr>
          <w:i/>
          <w:iCs/>
          <w:color w:val="718096"/>
          <w:sz w:val="18"/>
          <w:szCs w:val="18"/>
        </w:rPr>
        <w:t xml:space="preserve">Document synthesized from the full project conversation. Intended as a living working reference.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Page </w:t>
    </w:r>
    <w:r>
      <w:rPr>
        <w:color w:val="718096"/>
        <w:sz w:val="18"/>
        <w:szCs w:val="18"/>
      </w:rPr>
      <w:fldChar w:fldCharType="begin"/>
      <w:instrText xml:space="preserve">PAGE</w:instrText>
      <w:fldChar w:fldCharType="separate"/>
      <w:fldChar w:fldCharType="end"/>
    </w:r>
    <w:r>
      <w:rPr>
        <w:color w:val="718096"/>
        <w:sz w:val="18"/>
        <w:szCs w:val="18"/>
      </w:rPr>
      <w:t xml:space="preserve"> of </w:t>
    </w:r>
    <w:r>
      <w:rPr>
        <w:color w:val="7180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18"/>
        <w:szCs w:val="18"/>
      </w:rPr>
      <w:t xml:space="preserve">OSINT Game Development Strategy</w:t>
    </w:r>
    <w:r>
      <w:rPr>
        <w:color w:val="a0aec0"/>
        <w:sz w:val="18"/>
        <w:szCs w:val="18"/>
      </w:rPr>
      <w:t xml:space="preserve">  |  </w:t>
    </w:r>
    <w:r>
      <w:rPr>
        <w:color w:val="718096"/>
        <w:sz w:val="18"/>
        <w:szCs w:val="18"/>
      </w:rPr>
      <w:t xml:space="preserve">Confidential Working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before="0"/>
      <w:jc w:val="center"/>
    </w:pPr>
    <w:rPr>
      <w:rFonts w:ascii="Arial" w:cs="Arial" w:eastAsia="Arial" w:hAnsi="Arial"/>
      <w:b/>
      <w:bCs/>
      <w:color w:val="1a365d"/>
      <w:sz w:val="40"/>
      <w:szCs w:val="40"/>
    </w:rPr>
  </w:style>
  <w:style w:type="paragraph" w:styleId="Heading1">
    <w:name w:val="Heading 1"/>
    <w:basedOn w:val="Normal"/>
    <w:next w:val="Normal"/>
    <w:pPr>
      <w:spacing w:after="160" w:before="360"/>
      <w:outlineLvl w:val="0"/>
    </w:pPr>
    <w:rPr>
      <w:rFonts w:ascii="Arial" w:cs="Arial" w:eastAsia="Arial" w:hAnsi="Arial"/>
      <w:b/>
      <w:bCs/>
      <w:color w:val="1a365d"/>
      <w:sz w:val="28"/>
      <w:szCs w:val="28"/>
    </w:rPr>
  </w:style>
  <w:style w:type="paragraph" w:styleId="Heading2">
    <w:name w:val="Heading 2"/>
    <w:basedOn w:val="Normal"/>
    <w:next w:val="Normal"/>
    <w:pPr>
      <w:spacing w:after="120" w:before="280"/>
      <w:outlineLvl w:val="1"/>
    </w:pPr>
    <w:rPr>
      <w:rFonts w:ascii="Arial" w:cs="Arial" w:eastAsia="Arial" w:hAnsi="Arial"/>
      <w:b/>
      <w:bCs/>
      <w:color w:val="2c5282"/>
      <w:sz w:val="24"/>
      <w:szCs w:val="24"/>
    </w:rPr>
  </w:style>
  <w:style w:type="paragraph" w:styleId="Heading3">
    <w:name w:val="Heading 3"/>
    <w:basedOn w:val="Normal"/>
    <w:next w:val="Normal"/>
    <w:pPr>
      <w:spacing w:after="100" w:before="200"/>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2026-10-20T14:14:03.035Z</dcterms:created>
  <dcterms:modified xsi:type="dcterms:W3CDTF">2026-10-20T14:14:03.035Z</dcterms:modified>
</cp:coreProperties>
</file>

<file path=docProps/custom.xml><?xml version="1.0" encoding="utf-8"?>
<Properties xmlns="http://schemas.openxmlformats.org/officeDocument/2006/custom-properties" xmlns:vt="http://schemas.openxmlformats.org/officeDocument/2006/docPropsVTypes"/>
</file>